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CDFF25">
      <w:pPr>
        <w:pStyle w:val="6"/>
        <w:widowControl/>
        <w:spacing w:beforeAutospacing="0" w:afterAutospacing="0" w:line="500" w:lineRule="exact"/>
        <w:jc w:val="center"/>
        <w:rPr>
          <w:rFonts w:cs="宋体" w:asciiTheme="majorEastAsia" w:hAnsiTheme="majorEastAsia" w:eastAsiaTheme="majorEastAsia"/>
          <w:b/>
          <w:color w:val="000000"/>
          <w:sz w:val="44"/>
          <w:szCs w:val="44"/>
        </w:rPr>
      </w:pPr>
      <w:r>
        <w:rPr>
          <w:rFonts w:hint="eastAsia" w:cs="宋体" w:asciiTheme="majorEastAsia" w:hAnsiTheme="majorEastAsia" w:eastAsiaTheme="majorEastAsia"/>
          <w:b/>
          <w:color w:val="000000"/>
          <w:sz w:val="44"/>
          <w:szCs w:val="44"/>
        </w:rPr>
        <w:t>竞租须知</w:t>
      </w:r>
    </w:p>
    <w:p w14:paraId="65C201AA">
      <w:pPr>
        <w:pStyle w:val="6"/>
        <w:widowControl/>
        <w:spacing w:beforeAutospacing="0" w:afterAutospacing="0" w:line="500" w:lineRule="exact"/>
        <w:ind w:firstLine="480"/>
        <w:rPr>
          <w:rFonts w:cs="宋体" w:asciiTheme="majorEastAsia" w:hAnsiTheme="majorEastAsia" w:eastAsiaTheme="majorEastAsia"/>
          <w:color w:val="000000"/>
        </w:rPr>
      </w:pPr>
      <w:r>
        <w:rPr>
          <w:rFonts w:hint="eastAsia" w:cs="宋体" w:asciiTheme="majorEastAsia" w:hAnsiTheme="majorEastAsia" w:eastAsiaTheme="majorEastAsia"/>
          <w:color w:val="000000"/>
        </w:rPr>
        <w:t>根据《中华人民共和国拍卖法》以及相关法律法规和行业惯例制定本须知，以明确拍卖活动当事人的权利、义务，并对本次拍卖有关事项进行约定。本次拍卖活动严格遵循“公开、公平、公正、诚实信用”的原则。拍卖活动各环节均具有相应法律效力。</w:t>
      </w:r>
    </w:p>
    <w:p w14:paraId="0990032A">
      <w:pPr>
        <w:pStyle w:val="6"/>
        <w:widowControl/>
        <w:shd w:val="clear" w:color="auto" w:fill="FFFFFF"/>
        <w:spacing w:beforeAutospacing="0" w:afterAutospacing="0" w:line="560" w:lineRule="exact"/>
        <w:ind w:left="480"/>
        <w:jc w:val="both"/>
        <w:rPr>
          <w:rFonts w:cs="Arial" w:asciiTheme="minorEastAsia" w:hAnsiTheme="minorEastAsia"/>
          <w:sz w:val="18"/>
          <w:szCs w:val="18"/>
        </w:rPr>
      </w:pPr>
      <w:bookmarkStart w:id="0" w:name="_Hlk146188494"/>
      <w:r>
        <w:rPr>
          <w:rFonts w:hint="eastAsia" w:cs="Arial" w:asciiTheme="minorEastAsia" w:hAnsiTheme="minorEastAsia"/>
          <w:b/>
          <w:shd w:val="clear" w:color="auto" w:fill="FFFFFF"/>
        </w:rPr>
        <w:t>一、</w:t>
      </w:r>
      <w:r>
        <w:rPr>
          <w:rFonts w:cs="Arial" w:asciiTheme="minorEastAsia" w:hAnsiTheme="minorEastAsia"/>
          <w:b/>
          <w:shd w:val="clear" w:color="auto" w:fill="FFFFFF"/>
        </w:rPr>
        <w:t>拍卖标的：</w:t>
      </w:r>
      <w:r>
        <w:rPr>
          <w:rFonts w:cs="Arial" w:asciiTheme="minorEastAsia" w:hAnsiTheme="minorEastAsia"/>
          <w:shd w:val="clear" w:color="auto" w:fill="FFFFFF"/>
        </w:rPr>
        <w:t>位于镇海区骆驼街道联勤路商业用房</w:t>
      </w:r>
      <w:r>
        <w:rPr>
          <w:rFonts w:hint="eastAsia" w:cs="Arial" w:asciiTheme="minorEastAsia" w:hAnsiTheme="minorEastAsia"/>
          <w:shd w:val="clear" w:color="auto" w:fill="FFFFFF"/>
        </w:rPr>
        <w:t>,无证（出具产权情况说明），租赁期限三年。</w:t>
      </w:r>
    </w:p>
    <w:bookmarkEnd w:id="0"/>
    <w:tbl>
      <w:tblPr>
        <w:tblStyle w:val="7"/>
        <w:tblW w:w="8647"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694"/>
        <w:gridCol w:w="1701"/>
        <w:gridCol w:w="1701"/>
        <w:gridCol w:w="1842"/>
      </w:tblGrid>
      <w:tr w14:paraId="06574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09" w:type="dxa"/>
            <w:tcBorders>
              <w:top w:val="single" w:color="auto" w:sz="4" w:space="0"/>
              <w:left w:val="single" w:color="auto" w:sz="4" w:space="0"/>
              <w:bottom w:val="single" w:color="auto" w:sz="4" w:space="0"/>
              <w:right w:val="single" w:color="auto" w:sz="4" w:space="0"/>
            </w:tcBorders>
            <w:vAlign w:val="center"/>
          </w:tcPr>
          <w:p w14:paraId="0EA7B22F">
            <w:pPr>
              <w:widowControl/>
              <w:spacing w:line="440" w:lineRule="exact"/>
              <w:jc w:val="center"/>
              <w:textAlignment w:val="center"/>
              <w:rPr>
                <w:rFonts w:ascii="宋体" w:hAnsi="宋体" w:eastAsia="宋体" w:cs="宋体"/>
                <w:b/>
                <w:bCs/>
                <w:szCs w:val="21"/>
              </w:rPr>
            </w:pPr>
            <w:r>
              <w:rPr>
                <w:rFonts w:hint="eastAsia" w:ascii="宋体" w:hAnsi="宋体" w:eastAsia="宋体" w:cs="宋体"/>
                <w:b/>
                <w:bCs/>
                <w:kern w:val="0"/>
                <w:szCs w:val="21"/>
                <w:lang w:bidi="ar"/>
              </w:rPr>
              <w:t>序号</w:t>
            </w:r>
          </w:p>
        </w:tc>
        <w:tc>
          <w:tcPr>
            <w:tcW w:w="2694" w:type="dxa"/>
            <w:tcBorders>
              <w:top w:val="single" w:color="auto" w:sz="4" w:space="0"/>
              <w:left w:val="single" w:color="auto" w:sz="4" w:space="0"/>
              <w:bottom w:val="single" w:color="auto" w:sz="4" w:space="0"/>
              <w:right w:val="single" w:color="auto" w:sz="4" w:space="0"/>
            </w:tcBorders>
            <w:vAlign w:val="center"/>
          </w:tcPr>
          <w:p w14:paraId="197F742B">
            <w:pPr>
              <w:widowControl/>
              <w:spacing w:line="440" w:lineRule="exact"/>
              <w:jc w:val="center"/>
              <w:textAlignment w:val="center"/>
              <w:rPr>
                <w:rFonts w:ascii="宋体" w:hAnsi="宋体" w:eastAsia="宋体" w:cs="宋体"/>
                <w:b/>
                <w:bCs/>
                <w:szCs w:val="21"/>
              </w:rPr>
            </w:pPr>
            <w:r>
              <w:rPr>
                <w:rFonts w:hint="eastAsia" w:ascii="宋体" w:hAnsi="宋体" w:eastAsia="宋体" w:cs="宋体"/>
                <w:b/>
                <w:bCs/>
                <w:kern w:val="0"/>
                <w:szCs w:val="21"/>
                <w:lang w:bidi="ar"/>
              </w:rPr>
              <w:t>地址</w:t>
            </w:r>
          </w:p>
        </w:tc>
        <w:tc>
          <w:tcPr>
            <w:tcW w:w="1701" w:type="dxa"/>
            <w:tcBorders>
              <w:top w:val="single" w:color="auto" w:sz="4" w:space="0"/>
              <w:left w:val="single" w:color="auto" w:sz="4" w:space="0"/>
              <w:bottom w:val="single" w:color="auto" w:sz="4" w:space="0"/>
              <w:right w:val="single" w:color="auto" w:sz="4" w:space="0"/>
            </w:tcBorders>
            <w:vAlign w:val="center"/>
          </w:tcPr>
          <w:p w14:paraId="3F7CBCB2">
            <w:pPr>
              <w:widowControl/>
              <w:spacing w:line="440" w:lineRule="exact"/>
              <w:textAlignment w:val="center"/>
              <w:rPr>
                <w:rFonts w:ascii="宋体" w:hAnsi="宋体" w:eastAsia="宋体" w:cs="宋体"/>
                <w:b/>
                <w:bCs/>
                <w:szCs w:val="21"/>
              </w:rPr>
            </w:pPr>
            <w:r>
              <w:rPr>
                <w:rFonts w:hint="eastAsia" w:ascii="宋体" w:hAnsi="宋体" w:eastAsia="宋体" w:cs="宋体"/>
                <w:b/>
                <w:bCs/>
                <w:kern w:val="0"/>
                <w:szCs w:val="21"/>
                <w:lang w:bidi="ar"/>
              </w:rPr>
              <w:t xml:space="preserve"> 建筑面积（㎡）</w:t>
            </w:r>
          </w:p>
        </w:tc>
        <w:tc>
          <w:tcPr>
            <w:tcW w:w="1701" w:type="dxa"/>
            <w:tcBorders>
              <w:top w:val="single" w:color="auto" w:sz="4" w:space="0"/>
              <w:left w:val="single" w:color="auto" w:sz="4" w:space="0"/>
              <w:bottom w:val="single" w:color="auto" w:sz="4" w:space="0"/>
              <w:right w:val="single" w:color="auto" w:sz="4" w:space="0"/>
            </w:tcBorders>
            <w:vAlign w:val="center"/>
          </w:tcPr>
          <w:p w14:paraId="2E020896">
            <w:pPr>
              <w:widowControl/>
              <w:spacing w:line="440" w:lineRule="exact"/>
              <w:jc w:val="center"/>
              <w:textAlignment w:val="center"/>
              <w:rPr>
                <w:rFonts w:ascii="宋体" w:hAnsi="宋体" w:eastAsia="宋体" w:cs="微软雅黑"/>
                <w:b/>
                <w:bCs/>
                <w:szCs w:val="21"/>
              </w:rPr>
            </w:pPr>
            <w:r>
              <w:rPr>
                <w:rFonts w:hint="eastAsia" w:ascii="宋体" w:hAnsi="宋体" w:eastAsia="宋体" w:cs="微软雅黑"/>
                <w:b/>
                <w:bCs/>
                <w:szCs w:val="21"/>
              </w:rPr>
              <w:t>起租价 （元/年）</w:t>
            </w:r>
          </w:p>
        </w:tc>
        <w:tc>
          <w:tcPr>
            <w:tcW w:w="1842" w:type="dxa"/>
            <w:tcBorders>
              <w:top w:val="single" w:color="auto" w:sz="4" w:space="0"/>
              <w:left w:val="single" w:color="auto" w:sz="4" w:space="0"/>
              <w:bottom w:val="single" w:color="auto" w:sz="4" w:space="0"/>
              <w:right w:val="single" w:color="auto" w:sz="4" w:space="0"/>
            </w:tcBorders>
            <w:vAlign w:val="center"/>
          </w:tcPr>
          <w:p w14:paraId="4FAF1A83">
            <w:pPr>
              <w:spacing w:line="440" w:lineRule="exact"/>
              <w:jc w:val="center"/>
              <w:textAlignment w:val="center"/>
              <w:rPr>
                <w:rFonts w:ascii="宋体" w:hAnsi="宋体" w:eastAsia="宋体" w:cs="微软雅黑"/>
                <w:b/>
                <w:bCs/>
                <w:szCs w:val="21"/>
              </w:rPr>
            </w:pPr>
            <w:r>
              <w:rPr>
                <w:rFonts w:hint="eastAsia" w:ascii="宋体" w:hAnsi="宋体" w:eastAsia="宋体" w:cs="微软雅黑"/>
                <w:b/>
                <w:bCs/>
                <w:kern w:val="0"/>
                <w:szCs w:val="21"/>
                <w:lang w:bidi="ar"/>
              </w:rPr>
              <w:t>拍卖保证金 （元）</w:t>
            </w:r>
          </w:p>
        </w:tc>
      </w:tr>
      <w:tr w14:paraId="58C1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9" w:type="dxa"/>
            <w:tcBorders>
              <w:top w:val="single" w:color="auto" w:sz="4" w:space="0"/>
              <w:left w:val="single" w:color="auto" w:sz="4" w:space="0"/>
              <w:bottom w:val="single" w:color="auto" w:sz="4" w:space="0"/>
              <w:right w:val="single" w:color="auto" w:sz="4" w:space="0"/>
            </w:tcBorders>
            <w:vAlign w:val="center"/>
          </w:tcPr>
          <w:p w14:paraId="46772157">
            <w:pPr>
              <w:spacing w:line="440" w:lineRule="exact"/>
              <w:jc w:val="center"/>
              <w:rPr>
                <w:rFonts w:ascii="宋体" w:hAnsi="宋体" w:eastAsia="宋体" w:cs="宋体"/>
                <w:szCs w:val="21"/>
              </w:rPr>
            </w:pPr>
            <w:r>
              <w:rPr>
                <w:rFonts w:hint="eastAsia" w:ascii="宋体" w:hAnsi="宋体" w:eastAsia="宋体" w:cs="宋体"/>
                <w:szCs w:val="21"/>
              </w:rPr>
              <w:t>1</w:t>
            </w:r>
          </w:p>
        </w:tc>
        <w:tc>
          <w:tcPr>
            <w:tcW w:w="2694" w:type="dxa"/>
            <w:tcBorders>
              <w:top w:val="single" w:color="auto" w:sz="4" w:space="0"/>
              <w:left w:val="single" w:color="auto" w:sz="4" w:space="0"/>
              <w:bottom w:val="single" w:color="auto" w:sz="4" w:space="0"/>
              <w:right w:val="single" w:color="auto" w:sz="4" w:space="0"/>
            </w:tcBorders>
            <w:vAlign w:val="center"/>
          </w:tcPr>
          <w:p w14:paraId="027F5AD9">
            <w:pPr>
              <w:spacing w:line="300" w:lineRule="exact"/>
              <w:rPr>
                <w:rFonts w:ascii="宋体" w:hAnsi="宋体" w:eastAsia="宋体" w:cs="宋体"/>
                <w:szCs w:val="21"/>
              </w:rPr>
            </w:pPr>
            <w:r>
              <w:rPr>
                <w:rFonts w:hint="eastAsia" w:ascii="宋体" w:hAnsi="宋体" w:eastAsia="宋体" w:cs="宋体"/>
                <w:kern w:val="0"/>
                <w:szCs w:val="21"/>
                <w:lang w:bidi="ar"/>
              </w:rPr>
              <w:t>联勤路759号1-4、2-4室</w:t>
            </w:r>
          </w:p>
        </w:tc>
        <w:tc>
          <w:tcPr>
            <w:tcW w:w="1701" w:type="dxa"/>
            <w:tcBorders>
              <w:top w:val="single" w:color="auto" w:sz="4" w:space="0"/>
              <w:left w:val="single" w:color="auto" w:sz="4" w:space="0"/>
              <w:bottom w:val="single" w:color="auto" w:sz="4" w:space="0"/>
              <w:right w:val="single" w:color="auto" w:sz="4" w:space="0"/>
            </w:tcBorders>
            <w:vAlign w:val="center"/>
          </w:tcPr>
          <w:p w14:paraId="7505EEEE">
            <w:pPr>
              <w:widowControl/>
              <w:spacing w:line="440" w:lineRule="exact"/>
              <w:jc w:val="center"/>
              <w:textAlignment w:val="center"/>
              <w:rPr>
                <w:rFonts w:ascii="宋体" w:hAnsi="宋体" w:eastAsia="宋体" w:cs="宋体"/>
                <w:kern w:val="0"/>
                <w:szCs w:val="21"/>
                <w:lang w:bidi="ar"/>
              </w:rPr>
            </w:pPr>
            <w:r>
              <w:rPr>
                <w:rFonts w:ascii="宋体" w:hAnsi="宋体" w:eastAsia="宋体" w:cs="宋体"/>
                <w:kern w:val="0"/>
                <w:szCs w:val="21"/>
                <w:lang w:bidi="ar"/>
              </w:rPr>
              <w:t>257.68</w:t>
            </w:r>
          </w:p>
        </w:tc>
        <w:tc>
          <w:tcPr>
            <w:tcW w:w="1701" w:type="dxa"/>
            <w:tcBorders>
              <w:top w:val="single" w:color="auto" w:sz="4" w:space="0"/>
              <w:left w:val="single" w:color="auto" w:sz="4" w:space="0"/>
              <w:bottom w:val="single" w:color="auto" w:sz="4" w:space="0"/>
              <w:right w:val="single" w:color="auto" w:sz="4" w:space="0"/>
            </w:tcBorders>
            <w:vAlign w:val="center"/>
          </w:tcPr>
          <w:p w14:paraId="050FF1A8">
            <w:pPr>
              <w:spacing w:line="440" w:lineRule="exact"/>
              <w:jc w:val="center"/>
              <w:rPr>
                <w:rFonts w:ascii="宋体" w:hAnsi="宋体" w:eastAsia="宋体" w:cs="宋体"/>
                <w:szCs w:val="21"/>
              </w:rPr>
            </w:pPr>
            <w:r>
              <w:rPr>
                <w:rFonts w:hint="eastAsia" w:ascii="宋体" w:hAnsi="宋体" w:eastAsia="宋体" w:cs="宋体"/>
                <w:szCs w:val="21"/>
              </w:rPr>
              <w:t>87900</w:t>
            </w:r>
          </w:p>
        </w:tc>
        <w:tc>
          <w:tcPr>
            <w:tcW w:w="1842" w:type="dxa"/>
            <w:tcBorders>
              <w:top w:val="single" w:color="auto" w:sz="4" w:space="0"/>
              <w:left w:val="single" w:color="auto" w:sz="4" w:space="0"/>
              <w:bottom w:val="single" w:color="auto" w:sz="4" w:space="0"/>
              <w:right w:val="single" w:color="auto" w:sz="4" w:space="0"/>
            </w:tcBorders>
            <w:vAlign w:val="center"/>
          </w:tcPr>
          <w:p w14:paraId="7DCAE763">
            <w:pPr>
              <w:spacing w:line="440" w:lineRule="exact"/>
              <w:jc w:val="center"/>
              <w:rPr>
                <w:rFonts w:ascii="宋体" w:hAnsi="宋体" w:eastAsia="宋体" w:cs="宋体"/>
                <w:szCs w:val="21"/>
              </w:rPr>
            </w:pPr>
            <w:r>
              <w:rPr>
                <w:rFonts w:ascii="宋体" w:hAnsi="宋体" w:eastAsia="宋体" w:cs="宋体"/>
                <w:szCs w:val="21"/>
              </w:rPr>
              <w:t>20000</w:t>
            </w:r>
            <w:r>
              <w:rPr>
                <w:rFonts w:hint="eastAsia" w:ascii="宋体" w:hAnsi="宋体" w:eastAsia="宋体" w:cs="宋体"/>
                <w:szCs w:val="21"/>
              </w:rPr>
              <w:t xml:space="preserve"> </w:t>
            </w:r>
          </w:p>
        </w:tc>
      </w:tr>
      <w:tr w14:paraId="3E39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9" w:type="dxa"/>
            <w:tcBorders>
              <w:top w:val="single" w:color="auto" w:sz="4" w:space="0"/>
              <w:left w:val="single" w:color="auto" w:sz="4" w:space="0"/>
              <w:bottom w:val="single" w:color="auto" w:sz="4" w:space="0"/>
              <w:right w:val="single" w:color="auto" w:sz="4" w:space="0"/>
            </w:tcBorders>
            <w:vAlign w:val="center"/>
          </w:tcPr>
          <w:p w14:paraId="1A064B6E">
            <w:pPr>
              <w:spacing w:line="440" w:lineRule="exact"/>
              <w:jc w:val="center"/>
              <w:rPr>
                <w:rFonts w:ascii="宋体" w:hAnsi="宋体" w:eastAsia="宋体" w:cs="宋体"/>
                <w:szCs w:val="21"/>
              </w:rPr>
            </w:pPr>
            <w:r>
              <w:rPr>
                <w:rFonts w:hint="eastAsia" w:ascii="宋体" w:hAnsi="宋体" w:eastAsia="宋体" w:cs="宋体"/>
                <w:szCs w:val="21"/>
              </w:rPr>
              <w:t>2</w:t>
            </w:r>
          </w:p>
        </w:tc>
        <w:tc>
          <w:tcPr>
            <w:tcW w:w="2694" w:type="dxa"/>
            <w:tcBorders>
              <w:top w:val="single" w:color="auto" w:sz="4" w:space="0"/>
              <w:left w:val="single" w:color="auto" w:sz="4" w:space="0"/>
              <w:bottom w:val="single" w:color="auto" w:sz="4" w:space="0"/>
              <w:right w:val="single" w:color="auto" w:sz="4" w:space="0"/>
            </w:tcBorders>
            <w:vAlign w:val="center"/>
          </w:tcPr>
          <w:p w14:paraId="459660EB">
            <w:pPr>
              <w:spacing w:line="300" w:lineRule="exact"/>
              <w:jc w:val="center"/>
              <w:rPr>
                <w:rFonts w:ascii="宋体" w:hAnsi="宋体" w:eastAsia="宋体" w:cs="宋体"/>
                <w:kern w:val="0"/>
                <w:szCs w:val="21"/>
                <w:lang w:bidi="ar"/>
              </w:rPr>
            </w:pPr>
            <w:r>
              <w:rPr>
                <w:rFonts w:hint="eastAsia" w:ascii="宋体" w:hAnsi="宋体" w:eastAsia="宋体" w:cs="宋体"/>
                <w:kern w:val="0"/>
                <w:szCs w:val="21"/>
                <w:lang w:bidi="ar"/>
              </w:rPr>
              <w:t>联勤路753号1-1室</w:t>
            </w:r>
          </w:p>
        </w:tc>
        <w:tc>
          <w:tcPr>
            <w:tcW w:w="1701" w:type="dxa"/>
            <w:tcBorders>
              <w:top w:val="single" w:color="auto" w:sz="4" w:space="0"/>
              <w:left w:val="single" w:color="auto" w:sz="4" w:space="0"/>
              <w:bottom w:val="single" w:color="auto" w:sz="4" w:space="0"/>
              <w:right w:val="single" w:color="auto" w:sz="4" w:space="0"/>
            </w:tcBorders>
            <w:vAlign w:val="center"/>
          </w:tcPr>
          <w:p w14:paraId="152E7752">
            <w:pPr>
              <w:widowControl/>
              <w:spacing w:line="440" w:lineRule="exact"/>
              <w:jc w:val="center"/>
              <w:textAlignment w:val="center"/>
              <w:rPr>
                <w:rFonts w:ascii="宋体" w:hAnsi="宋体" w:eastAsia="宋体" w:cs="宋体"/>
                <w:kern w:val="0"/>
                <w:szCs w:val="21"/>
                <w:lang w:bidi="ar"/>
              </w:rPr>
            </w:pPr>
            <w:r>
              <w:rPr>
                <w:rFonts w:ascii="宋体" w:hAnsi="宋体" w:eastAsia="宋体" w:cs="宋体"/>
                <w:kern w:val="0"/>
                <w:szCs w:val="21"/>
                <w:lang w:bidi="ar"/>
              </w:rPr>
              <w:t>113.14</w:t>
            </w:r>
          </w:p>
        </w:tc>
        <w:tc>
          <w:tcPr>
            <w:tcW w:w="1701" w:type="dxa"/>
            <w:tcBorders>
              <w:top w:val="single" w:color="auto" w:sz="4" w:space="0"/>
              <w:left w:val="single" w:color="auto" w:sz="4" w:space="0"/>
              <w:bottom w:val="single" w:color="auto" w:sz="4" w:space="0"/>
              <w:right w:val="single" w:color="auto" w:sz="4" w:space="0"/>
            </w:tcBorders>
            <w:vAlign w:val="center"/>
          </w:tcPr>
          <w:p w14:paraId="7911B851">
            <w:pPr>
              <w:spacing w:line="440" w:lineRule="exact"/>
              <w:jc w:val="center"/>
              <w:rPr>
                <w:rFonts w:ascii="宋体" w:hAnsi="宋体" w:eastAsia="宋体" w:cs="宋体"/>
                <w:szCs w:val="21"/>
              </w:rPr>
            </w:pPr>
            <w:r>
              <w:rPr>
                <w:rFonts w:ascii="宋体" w:hAnsi="宋体" w:eastAsia="宋体" w:cs="宋体"/>
                <w:szCs w:val="21"/>
              </w:rPr>
              <w:t>57000</w:t>
            </w:r>
          </w:p>
        </w:tc>
        <w:tc>
          <w:tcPr>
            <w:tcW w:w="1842" w:type="dxa"/>
            <w:tcBorders>
              <w:top w:val="single" w:color="auto" w:sz="4" w:space="0"/>
              <w:left w:val="single" w:color="auto" w:sz="4" w:space="0"/>
              <w:bottom w:val="single" w:color="auto" w:sz="4" w:space="0"/>
              <w:right w:val="single" w:color="auto" w:sz="4" w:space="0"/>
            </w:tcBorders>
            <w:vAlign w:val="center"/>
          </w:tcPr>
          <w:p w14:paraId="574ED4A4">
            <w:pPr>
              <w:spacing w:line="440" w:lineRule="exact"/>
              <w:jc w:val="center"/>
              <w:rPr>
                <w:rFonts w:ascii="宋体" w:hAnsi="宋体" w:eastAsia="宋体" w:cs="宋体"/>
                <w:szCs w:val="21"/>
              </w:rPr>
            </w:pPr>
            <w:r>
              <w:rPr>
                <w:rFonts w:ascii="宋体" w:hAnsi="宋体" w:eastAsia="宋体" w:cs="宋体"/>
                <w:szCs w:val="21"/>
              </w:rPr>
              <w:t>20000</w:t>
            </w:r>
            <w:r>
              <w:rPr>
                <w:rFonts w:hint="eastAsia" w:ascii="宋体" w:hAnsi="宋体" w:eastAsia="宋体" w:cs="宋体"/>
                <w:szCs w:val="21"/>
              </w:rPr>
              <w:t xml:space="preserve"> </w:t>
            </w:r>
          </w:p>
        </w:tc>
      </w:tr>
      <w:tr w14:paraId="19D7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9" w:type="dxa"/>
            <w:tcBorders>
              <w:top w:val="single" w:color="auto" w:sz="4" w:space="0"/>
              <w:left w:val="single" w:color="auto" w:sz="4" w:space="0"/>
              <w:bottom w:val="single" w:color="auto" w:sz="4" w:space="0"/>
              <w:right w:val="single" w:color="auto" w:sz="4" w:space="0"/>
            </w:tcBorders>
            <w:vAlign w:val="center"/>
          </w:tcPr>
          <w:p w14:paraId="14A33021">
            <w:pPr>
              <w:spacing w:line="440" w:lineRule="exact"/>
              <w:jc w:val="center"/>
              <w:rPr>
                <w:rFonts w:ascii="宋体" w:hAnsi="宋体" w:eastAsia="宋体" w:cs="宋体"/>
                <w:szCs w:val="21"/>
              </w:rPr>
            </w:pPr>
            <w:r>
              <w:rPr>
                <w:rFonts w:hint="eastAsia" w:ascii="宋体" w:hAnsi="宋体" w:eastAsia="宋体" w:cs="宋体"/>
                <w:szCs w:val="21"/>
              </w:rPr>
              <w:t>3</w:t>
            </w:r>
          </w:p>
        </w:tc>
        <w:tc>
          <w:tcPr>
            <w:tcW w:w="2694" w:type="dxa"/>
            <w:tcBorders>
              <w:top w:val="single" w:color="auto" w:sz="4" w:space="0"/>
              <w:left w:val="single" w:color="auto" w:sz="4" w:space="0"/>
              <w:bottom w:val="single" w:color="auto" w:sz="4" w:space="0"/>
              <w:right w:val="single" w:color="auto" w:sz="4" w:space="0"/>
            </w:tcBorders>
            <w:vAlign w:val="center"/>
          </w:tcPr>
          <w:p w14:paraId="5E11BCFD">
            <w:pPr>
              <w:spacing w:line="300" w:lineRule="exact"/>
              <w:jc w:val="center"/>
              <w:rPr>
                <w:rFonts w:ascii="宋体" w:hAnsi="宋体" w:eastAsia="宋体" w:cs="宋体"/>
                <w:kern w:val="0"/>
                <w:szCs w:val="21"/>
                <w:lang w:bidi="ar"/>
              </w:rPr>
            </w:pPr>
            <w:r>
              <w:rPr>
                <w:rFonts w:hint="eastAsia" w:ascii="宋体" w:hAnsi="宋体" w:eastAsia="宋体" w:cs="宋体"/>
                <w:kern w:val="0"/>
                <w:szCs w:val="21"/>
                <w:lang w:bidi="ar"/>
              </w:rPr>
              <w:t>联勤路765号1-6、2-6室</w:t>
            </w:r>
          </w:p>
        </w:tc>
        <w:tc>
          <w:tcPr>
            <w:tcW w:w="1701" w:type="dxa"/>
            <w:tcBorders>
              <w:top w:val="single" w:color="auto" w:sz="4" w:space="0"/>
              <w:left w:val="single" w:color="auto" w:sz="4" w:space="0"/>
              <w:bottom w:val="single" w:color="auto" w:sz="4" w:space="0"/>
              <w:right w:val="single" w:color="auto" w:sz="4" w:space="0"/>
            </w:tcBorders>
            <w:vAlign w:val="center"/>
          </w:tcPr>
          <w:p w14:paraId="6BBE0520">
            <w:pPr>
              <w:widowControl/>
              <w:spacing w:line="440" w:lineRule="exact"/>
              <w:jc w:val="center"/>
              <w:textAlignment w:val="center"/>
              <w:rPr>
                <w:rFonts w:ascii="宋体" w:hAnsi="宋体" w:eastAsia="宋体" w:cs="宋体"/>
                <w:kern w:val="0"/>
                <w:szCs w:val="21"/>
                <w:lang w:bidi="ar"/>
              </w:rPr>
            </w:pPr>
            <w:r>
              <w:rPr>
                <w:rFonts w:ascii="宋体" w:hAnsi="宋体" w:eastAsia="宋体" w:cs="宋体"/>
                <w:kern w:val="0"/>
                <w:szCs w:val="21"/>
                <w:lang w:bidi="ar"/>
              </w:rPr>
              <w:t>204.48</w:t>
            </w:r>
          </w:p>
        </w:tc>
        <w:tc>
          <w:tcPr>
            <w:tcW w:w="1701" w:type="dxa"/>
            <w:tcBorders>
              <w:top w:val="single" w:color="auto" w:sz="4" w:space="0"/>
              <w:left w:val="single" w:color="auto" w:sz="4" w:space="0"/>
              <w:bottom w:val="single" w:color="auto" w:sz="4" w:space="0"/>
              <w:right w:val="single" w:color="auto" w:sz="4" w:space="0"/>
            </w:tcBorders>
            <w:vAlign w:val="center"/>
          </w:tcPr>
          <w:p w14:paraId="75F51857">
            <w:pPr>
              <w:spacing w:line="440" w:lineRule="exact"/>
              <w:jc w:val="center"/>
              <w:rPr>
                <w:rFonts w:ascii="宋体" w:hAnsi="宋体" w:eastAsia="宋体" w:cs="宋体"/>
                <w:szCs w:val="21"/>
              </w:rPr>
            </w:pPr>
            <w:r>
              <w:rPr>
                <w:rFonts w:hint="eastAsia" w:ascii="宋体" w:hAnsi="宋体" w:eastAsia="宋体" w:cs="宋体"/>
                <w:szCs w:val="21"/>
              </w:rPr>
              <w:t xml:space="preserve"> 73500</w:t>
            </w:r>
          </w:p>
        </w:tc>
        <w:tc>
          <w:tcPr>
            <w:tcW w:w="1842" w:type="dxa"/>
            <w:tcBorders>
              <w:top w:val="single" w:color="auto" w:sz="4" w:space="0"/>
              <w:left w:val="single" w:color="auto" w:sz="4" w:space="0"/>
              <w:bottom w:val="single" w:color="auto" w:sz="4" w:space="0"/>
              <w:right w:val="single" w:color="auto" w:sz="4" w:space="0"/>
            </w:tcBorders>
            <w:vAlign w:val="center"/>
          </w:tcPr>
          <w:p w14:paraId="1A391ED3">
            <w:pPr>
              <w:spacing w:line="440" w:lineRule="exact"/>
              <w:jc w:val="center"/>
              <w:rPr>
                <w:rFonts w:ascii="宋体" w:hAnsi="宋体" w:eastAsia="宋体" w:cs="宋体"/>
                <w:szCs w:val="21"/>
              </w:rPr>
            </w:pPr>
            <w:r>
              <w:rPr>
                <w:rFonts w:ascii="宋体" w:hAnsi="宋体" w:eastAsia="宋体" w:cs="宋体"/>
                <w:szCs w:val="21"/>
              </w:rPr>
              <w:t>20000</w:t>
            </w:r>
            <w:r>
              <w:rPr>
                <w:rFonts w:hint="eastAsia" w:ascii="宋体" w:hAnsi="宋体" w:eastAsia="宋体" w:cs="宋体"/>
                <w:szCs w:val="21"/>
              </w:rPr>
              <w:t xml:space="preserve"> </w:t>
            </w:r>
          </w:p>
        </w:tc>
      </w:tr>
      <w:tr w14:paraId="3A4A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9" w:type="dxa"/>
            <w:tcBorders>
              <w:top w:val="single" w:color="auto" w:sz="4" w:space="0"/>
              <w:left w:val="single" w:color="auto" w:sz="4" w:space="0"/>
              <w:bottom w:val="single" w:color="auto" w:sz="4" w:space="0"/>
              <w:right w:val="single" w:color="auto" w:sz="4" w:space="0"/>
            </w:tcBorders>
            <w:vAlign w:val="center"/>
          </w:tcPr>
          <w:p w14:paraId="368D7062">
            <w:pPr>
              <w:spacing w:line="440" w:lineRule="exact"/>
              <w:jc w:val="center"/>
              <w:rPr>
                <w:rFonts w:ascii="宋体" w:hAnsi="宋体" w:eastAsia="宋体" w:cs="宋体"/>
                <w:szCs w:val="21"/>
              </w:rPr>
            </w:pPr>
            <w:r>
              <w:rPr>
                <w:rFonts w:hint="eastAsia" w:ascii="宋体" w:hAnsi="宋体" w:eastAsia="宋体" w:cs="宋体"/>
                <w:szCs w:val="21"/>
              </w:rPr>
              <w:t>4</w:t>
            </w:r>
          </w:p>
        </w:tc>
        <w:tc>
          <w:tcPr>
            <w:tcW w:w="2694" w:type="dxa"/>
            <w:tcBorders>
              <w:top w:val="single" w:color="auto" w:sz="4" w:space="0"/>
              <w:left w:val="single" w:color="auto" w:sz="4" w:space="0"/>
              <w:bottom w:val="single" w:color="auto" w:sz="4" w:space="0"/>
              <w:right w:val="single" w:color="auto" w:sz="4" w:space="0"/>
            </w:tcBorders>
            <w:vAlign w:val="center"/>
          </w:tcPr>
          <w:p w14:paraId="288D646E">
            <w:pPr>
              <w:spacing w:line="300" w:lineRule="exact"/>
              <w:jc w:val="center"/>
              <w:rPr>
                <w:rFonts w:ascii="宋体" w:hAnsi="宋体" w:eastAsia="宋体" w:cs="宋体"/>
                <w:kern w:val="0"/>
                <w:szCs w:val="21"/>
                <w:lang w:bidi="ar"/>
              </w:rPr>
            </w:pPr>
            <w:r>
              <w:rPr>
                <w:rFonts w:hint="eastAsia" w:ascii="宋体" w:hAnsi="宋体" w:eastAsia="宋体" w:cs="宋体"/>
                <w:kern w:val="0"/>
                <w:szCs w:val="21"/>
                <w:lang w:bidi="ar"/>
              </w:rPr>
              <w:t>联勤路761号1-5、2-5室</w:t>
            </w:r>
          </w:p>
        </w:tc>
        <w:tc>
          <w:tcPr>
            <w:tcW w:w="1701" w:type="dxa"/>
            <w:tcBorders>
              <w:top w:val="single" w:color="auto" w:sz="4" w:space="0"/>
              <w:left w:val="single" w:color="auto" w:sz="4" w:space="0"/>
              <w:bottom w:val="single" w:color="auto" w:sz="4" w:space="0"/>
              <w:right w:val="single" w:color="auto" w:sz="4" w:space="0"/>
            </w:tcBorders>
            <w:vAlign w:val="center"/>
          </w:tcPr>
          <w:p w14:paraId="1ADF7274">
            <w:pPr>
              <w:widowControl/>
              <w:spacing w:line="440" w:lineRule="exact"/>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179.99</w:t>
            </w:r>
          </w:p>
        </w:tc>
        <w:tc>
          <w:tcPr>
            <w:tcW w:w="1701" w:type="dxa"/>
            <w:tcBorders>
              <w:top w:val="single" w:color="auto" w:sz="4" w:space="0"/>
              <w:left w:val="single" w:color="auto" w:sz="4" w:space="0"/>
              <w:bottom w:val="single" w:color="auto" w:sz="4" w:space="0"/>
              <w:right w:val="single" w:color="auto" w:sz="4" w:space="0"/>
            </w:tcBorders>
            <w:vAlign w:val="center"/>
          </w:tcPr>
          <w:p w14:paraId="6A35F484">
            <w:pPr>
              <w:spacing w:line="440" w:lineRule="exact"/>
              <w:jc w:val="center"/>
              <w:rPr>
                <w:rFonts w:ascii="宋体" w:hAnsi="宋体" w:eastAsia="宋体" w:cs="宋体"/>
                <w:szCs w:val="21"/>
              </w:rPr>
            </w:pPr>
            <w:r>
              <w:rPr>
                <w:rFonts w:hint="eastAsia" w:ascii="宋体" w:hAnsi="宋体" w:eastAsia="宋体" w:cs="宋体"/>
                <w:szCs w:val="21"/>
              </w:rPr>
              <w:t>75000</w:t>
            </w:r>
          </w:p>
        </w:tc>
        <w:tc>
          <w:tcPr>
            <w:tcW w:w="1842" w:type="dxa"/>
            <w:tcBorders>
              <w:top w:val="single" w:color="auto" w:sz="4" w:space="0"/>
              <w:left w:val="single" w:color="auto" w:sz="4" w:space="0"/>
              <w:bottom w:val="single" w:color="auto" w:sz="4" w:space="0"/>
              <w:right w:val="single" w:color="auto" w:sz="4" w:space="0"/>
            </w:tcBorders>
            <w:vAlign w:val="center"/>
          </w:tcPr>
          <w:p w14:paraId="6CD8DE97">
            <w:pPr>
              <w:spacing w:line="440" w:lineRule="exact"/>
              <w:jc w:val="center"/>
              <w:rPr>
                <w:rFonts w:ascii="宋体" w:hAnsi="宋体" w:eastAsia="宋体" w:cs="宋体"/>
                <w:szCs w:val="21"/>
              </w:rPr>
            </w:pPr>
            <w:r>
              <w:rPr>
                <w:rFonts w:ascii="宋体" w:hAnsi="宋体" w:eastAsia="宋体" w:cs="宋体"/>
                <w:szCs w:val="21"/>
              </w:rPr>
              <w:t>20000</w:t>
            </w:r>
            <w:r>
              <w:rPr>
                <w:rFonts w:hint="eastAsia" w:ascii="宋体" w:hAnsi="宋体" w:eastAsia="宋体" w:cs="宋体"/>
                <w:szCs w:val="21"/>
              </w:rPr>
              <w:t xml:space="preserve"> </w:t>
            </w:r>
          </w:p>
        </w:tc>
      </w:tr>
      <w:tr w14:paraId="4D12C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9" w:type="dxa"/>
            <w:tcBorders>
              <w:top w:val="single" w:color="auto" w:sz="4" w:space="0"/>
              <w:left w:val="single" w:color="auto" w:sz="4" w:space="0"/>
              <w:bottom w:val="single" w:color="auto" w:sz="4" w:space="0"/>
              <w:right w:val="single" w:color="auto" w:sz="4" w:space="0"/>
            </w:tcBorders>
            <w:vAlign w:val="center"/>
          </w:tcPr>
          <w:p w14:paraId="06625A31">
            <w:pPr>
              <w:spacing w:line="440" w:lineRule="exact"/>
              <w:jc w:val="center"/>
              <w:rPr>
                <w:rFonts w:ascii="宋体" w:hAnsi="宋体" w:eastAsia="宋体" w:cs="宋体"/>
                <w:szCs w:val="21"/>
              </w:rPr>
            </w:pPr>
            <w:r>
              <w:rPr>
                <w:rFonts w:hint="eastAsia" w:ascii="宋体" w:hAnsi="宋体" w:eastAsia="宋体" w:cs="宋体"/>
                <w:szCs w:val="21"/>
              </w:rPr>
              <w:t>5</w:t>
            </w:r>
          </w:p>
        </w:tc>
        <w:tc>
          <w:tcPr>
            <w:tcW w:w="2694" w:type="dxa"/>
            <w:tcBorders>
              <w:top w:val="single" w:color="auto" w:sz="4" w:space="0"/>
              <w:left w:val="single" w:color="auto" w:sz="4" w:space="0"/>
              <w:bottom w:val="single" w:color="auto" w:sz="4" w:space="0"/>
              <w:right w:val="single" w:color="auto" w:sz="4" w:space="0"/>
            </w:tcBorders>
            <w:vAlign w:val="center"/>
          </w:tcPr>
          <w:p w14:paraId="7E1D319A">
            <w:pPr>
              <w:spacing w:line="300" w:lineRule="exact"/>
              <w:jc w:val="center"/>
              <w:rPr>
                <w:rFonts w:ascii="宋体" w:hAnsi="宋体" w:eastAsia="宋体" w:cs="宋体"/>
                <w:kern w:val="0"/>
                <w:szCs w:val="21"/>
                <w:lang w:bidi="ar"/>
              </w:rPr>
            </w:pPr>
            <w:r>
              <w:rPr>
                <w:rFonts w:hint="eastAsia" w:ascii="宋体" w:hAnsi="宋体" w:eastAsia="宋体" w:cs="宋体"/>
                <w:kern w:val="0"/>
                <w:szCs w:val="21"/>
                <w:lang w:bidi="ar"/>
              </w:rPr>
              <w:t>联勤路737号1-7、2-7室</w:t>
            </w:r>
          </w:p>
        </w:tc>
        <w:tc>
          <w:tcPr>
            <w:tcW w:w="1701" w:type="dxa"/>
            <w:tcBorders>
              <w:top w:val="single" w:color="auto" w:sz="4" w:space="0"/>
              <w:left w:val="single" w:color="auto" w:sz="4" w:space="0"/>
              <w:bottom w:val="single" w:color="auto" w:sz="4" w:space="0"/>
              <w:right w:val="single" w:color="auto" w:sz="4" w:space="0"/>
            </w:tcBorders>
            <w:vAlign w:val="center"/>
          </w:tcPr>
          <w:p w14:paraId="25996C22">
            <w:pPr>
              <w:widowControl/>
              <w:spacing w:line="440" w:lineRule="exact"/>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308.22</w:t>
            </w:r>
          </w:p>
        </w:tc>
        <w:tc>
          <w:tcPr>
            <w:tcW w:w="1701" w:type="dxa"/>
            <w:tcBorders>
              <w:top w:val="single" w:color="auto" w:sz="4" w:space="0"/>
              <w:left w:val="single" w:color="auto" w:sz="4" w:space="0"/>
              <w:bottom w:val="single" w:color="auto" w:sz="4" w:space="0"/>
              <w:right w:val="single" w:color="auto" w:sz="4" w:space="0"/>
            </w:tcBorders>
            <w:vAlign w:val="center"/>
          </w:tcPr>
          <w:p w14:paraId="70E6B134">
            <w:pPr>
              <w:spacing w:line="440" w:lineRule="exact"/>
              <w:jc w:val="center"/>
              <w:rPr>
                <w:rFonts w:ascii="宋体" w:hAnsi="宋体" w:eastAsia="宋体" w:cs="宋体"/>
                <w:szCs w:val="21"/>
              </w:rPr>
            </w:pPr>
            <w:r>
              <w:rPr>
                <w:rFonts w:hint="eastAsia" w:ascii="宋体" w:hAnsi="宋体" w:eastAsia="宋体" w:cs="宋体"/>
                <w:szCs w:val="21"/>
              </w:rPr>
              <w:t>189300</w:t>
            </w:r>
          </w:p>
        </w:tc>
        <w:tc>
          <w:tcPr>
            <w:tcW w:w="1842" w:type="dxa"/>
            <w:tcBorders>
              <w:top w:val="single" w:color="auto" w:sz="4" w:space="0"/>
              <w:left w:val="single" w:color="auto" w:sz="4" w:space="0"/>
              <w:bottom w:val="single" w:color="auto" w:sz="4" w:space="0"/>
              <w:right w:val="single" w:color="auto" w:sz="4" w:space="0"/>
            </w:tcBorders>
            <w:vAlign w:val="center"/>
          </w:tcPr>
          <w:p w14:paraId="518D57F2">
            <w:pPr>
              <w:spacing w:line="440" w:lineRule="exact"/>
              <w:jc w:val="center"/>
              <w:rPr>
                <w:rFonts w:ascii="宋体" w:hAnsi="宋体" w:eastAsia="宋体" w:cs="宋体"/>
                <w:szCs w:val="21"/>
              </w:rPr>
            </w:pPr>
            <w:r>
              <w:rPr>
                <w:rFonts w:ascii="宋体" w:hAnsi="宋体" w:eastAsia="宋体" w:cs="宋体"/>
                <w:szCs w:val="21"/>
              </w:rPr>
              <w:t>20000</w:t>
            </w:r>
            <w:r>
              <w:rPr>
                <w:rFonts w:hint="eastAsia" w:ascii="宋体" w:hAnsi="宋体" w:eastAsia="宋体" w:cs="宋体"/>
                <w:szCs w:val="21"/>
              </w:rPr>
              <w:t xml:space="preserve"> </w:t>
            </w:r>
          </w:p>
        </w:tc>
      </w:tr>
      <w:tr w14:paraId="4779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9" w:type="dxa"/>
            <w:tcBorders>
              <w:top w:val="single" w:color="auto" w:sz="4" w:space="0"/>
              <w:left w:val="single" w:color="auto" w:sz="4" w:space="0"/>
              <w:bottom w:val="single" w:color="auto" w:sz="4" w:space="0"/>
              <w:right w:val="single" w:color="auto" w:sz="4" w:space="0"/>
            </w:tcBorders>
            <w:vAlign w:val="center"/>
          </w:tcPr>
          <w:p w14:paraId="142F2E32">
            <w:pPr>
              <w:spacing w:line="440" w:lineRule="exact"/>
              <w:jc w:val="center"/>
              <w:rPr>
                <w:rFonts w:ascii="宋体" w:hAnsi="宋体" w:eastAsia="宋体" w:cs="宋体"/>
                <w:szCs w:val="21"/>
              </w:rPr>
            </w:pPr>
            <w:r>
              <w:rPr>
                <w:rFonts w:hint="eastAsia" w:ascii="宋体" w:hAnsi="宋体" w:eastAsia="宋体" w:cs="宋体"/>
                <w:szCs w:val="21"/>
              </w:rPr>
              <w:t>6</w:t>
            </w:r>
          </w:p>
        </w:tc>
        <w:tc>
          <w:tcPr>
            <w:tcW w:w="2694" w:type="dxa"/>
            <w:tcBorders>
              <w:top w:val="single" w:color="auto" w:sz="4" w:space="0"/>
              <w:left w:val="single" w:color="auto" w:sz="4" w:space="0"/>
              <w:bottom w:val="single" w:color="auto" w:sz="4" w:space="0"/>
              <w:right w:val="single" w:color="auto" w:sz="4" w:space="0"/>
            </w:tcBorders>
            <w:vAlign w:val="center"/>
          </w:tcPr>
          <w:p w14:paraId="4CC5113D">
            <w:pPr>
              <w:spacing w:line="300" w:lineRule="exact"/>
              <w:jc w:val="center"/>
              <w:rPr>
                <w:rFonts w:ascii="宋体" w:hAnsi="宋体" w:eastAsia="宋体" w:cs="宋体"/>
                <w:kern w:val="0"/>
                <w:szCs w:val="21"/>
                <w:lang w:bidi="ar"/>
              </w:rPr>
            </w:pPr>
            <w:r>
              <w:rPr>
                <w:rFonts w:hint="eastAsia" w:ascii="宋体" w:hAnsi="宋体" w:eastAsia="宋体" w:cs="宋体"/>
                <w:kern w:val="0"/>
                <w:szCs w:val="21"/>
                <w:lang w:bidi="ar"/>
              </w:rPr>
              <w:t>联勤路771、773、775号1-8、2-8，1-9、2-9，1-10、2-10室</w:t>
            </w:r>
          </w:p>
        </w:tc>
        <w:tc>
          <w:tcPr>
            <w:tcW w:w="1701" w:type="dxa"/>
            <w:tcBorders>
              <w:top w:val="single" w:color="auto" w:sz="4" w:space="0"/>
              <w:left w:val="single" w:color="auto" w:sz="4" w:space="0"/>
              <w:bottom w:val="single" w:color="auto" w:sz="4" w:space="0"/>
              <w:right w:val="single" w:color="auto" w:sz="4" w:space="0"/>
            </w:tcBorders>
            <w:vAlign w:val="center"/>
          </w:tcPr>
          <w:p w14:paraId="3C4B8997">
            <w:pPr>
              <w:widowControl/>
              <w:spacing w:line="440" w:lineRule="exact"/>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438.90</w:t>
            </w:r>
          </w:p>
        </w:tc>
        <w:tc>
          <w:tcPr>
            <w:tcW w:w="1701" w:type="dxa"/>
            <w:tcBorders>
              <w:top w:val="single" w:color="auto" w:sz="4" w:space="0"/>
              <w:left w:val="single" w:color="auto" w:sz="4" w:space="0"/>
              <w:bottom w:val="single" w:color="auto" w:sz="4" w:space="0"/>
              <w:right w:val="single" w:color="auto" w:sz="4" w:space="0"/>
            </w:tcBorders>
            <w:vAlign w:val="center"/>
          </w:tcPr>
          <w:p w14:paraId="4BED240D">
            <w:pPr>
              <w:spacing w:line="440" w:lineRule="exact"/>
              <w:jc w:val="center"/>
              <w:rPr>
                <w:rFonts w:ascii="宋体" w:hAnsi="宋体" w:eastAsia="宋体" w:cs="宋体"/>
                <w:szCs w:val="21"/>
              </w:rPr>
            </w:pPr>
            <w:r>
              <w:rPr>
                <w:rFonts w:hint="eastAsia" w:ascii="宋体" w:hAnsi="宋体" w:eastAsia="宋体" w:cs="宋体"/>
                <w:szCs w:val="21"/>
              </w:rPr>
              <w:t>149300</w:t>
            </w:r>
          </w:p>
        </w:tc>
        <w:tc>
          <w:tcPr>
            <w:tcW w:w="1842" w:type="dxa"/>
            <w:tcBorders>
              <w:top w:val="single" w:color="auto" w:sz="4" w:space="0"/>
              <w:left w:val="single" w:color="auto" w:sz="4" w:space="0"/>
              <w:bottom w:val="single" w:color="auto" w:sz="4" w:space="0"/>
              <w:right w:val="single" w:color="auto" w:sz="4" w:space="0"/>
            </w:tcBorders>
            <w:vAlign w:val="center"/>
          </w:tcPr>
          <w:p w14:paraId="059F50CB">
            <w:pPr>
              <w:spacing w:line="440" w:lineRule="exact"/>
              <w:jc w:val="center"/>
              <w:rPr>
                <w:rFonts w:ascii="宋体" w:hAnsi="宋体" w:eastAsia="宋体" w:cs="宋体"/>
                <w:szCs w:val="21"/>
              </w:rPr>
            </w:pPr>
            <w:r>
              <w:rPr>
                <w:rFonts w:ascii="宋体" w:hAnsi="宋体" w:eastAsia="宋体" w:cs="宋体"/>
                <w:szCs w:val="21"/>
              </w:rPr>
              <w:t>20000</w:t>
            </w:r>
            <w:r>
              <w:rPr>
                <w:rFonts w:hint="eastAsia" w:ascii="宋体" w:hAnsi="宋体" w:eastAsia="宋体" w:cs="宋体"/>
                <w:szCs w:val="21"/>
              </w:rPr>
              <w:t xml:space="preserve"> </w:t>
            </w:r>
          </w:p>
        </w:tc>
      </w:tr>
      <w:tr w14:paraId="34B8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9" w:type="dxa"/>
            <w:tcBorders>
              <w:top w:val="single" w:color="auto" w:sz="4" w:space="0"/>
              <w:left w:val="single" w:color="auto" w:sz="4" w:space="0"/>
              <w:bottom w:val="single" w:color="auto" w:sz="4" w:space="0"/>
              <w:right w:val="single" w:color="auto" w:sz="4" w:space="0"/>
            </w:tcBorders>
            <w:vAlign w:val="center"/>
          </w:tcPr>
          <w:p w14:paraId="7DD644FB">
            <w:pPr>
              <w:spacing w:line="440" w:lineRule="exact"/>
              <w:jc w:val="center"/>
              <w:rPr>
                <w:rFonts w:ascii="宋体" w:hAnsi="宋体" w:eastAsia="宋体" w:cs="宋体"/>
                <w:szCs w:val="21"/>
              </w:rPr>
            </w:pPr>
            <w:r>
              <w:rPr>
                <w:rFonts w:hint="eastAsia" w:ascii="宋体" w:hAnsi="宋体" w:eastAsia="宋体" w:cs="宋体"/>
                <w:szCs w:val="21"/>
              </w:rPr>
              <w:t>7</w:t>
            </w:r>
          </w:p>
        </w:tc>
        <w:tc>
          <w:tcPr>
            <w:tcW w:w="2694" w:type="dxa"/>
            <w:tcBorders>
              <w:top w:val="single" w:color="auto" w:sz="4" w:space="0"/>
              <w:left w:val="single" w:color="auto" w:sz="4" w:space="0"/>
              <w:bottom w:val="single" w:color="auto" w:sz="4" w:space="0"/>
              <w:right w:val="single" w:color="auto" w:sz="4" w:space="0"/>
            </w:tcBorders>
            <w:vAlign w:val="center"/>
          </w:tcPr>
          <w:p w14:paraId="3C1EEF66">
            <w:pPr>
              <w:spacing w:line="300" w:lineRule="exact"/>
              <w:jc w:val="center"/>
              <w:rPr>
                <w:rFonts w:ascii="宋体" w:hAnsi="宋体" w:eastAsia="宋体" w:cs="宋体"/>
                <w:kern w:val="0"/>
                <w:szCs w:val="21"/>
                <w:lang w:bidi="ar"/>
              </w:rPr>
            </w:pPr>
            <w:r>
              <w:rPr>
                <w:rFonts w:hint="eastAsia" w:ascii="宋体" w:hAnsi="宋体" w:eastAsia="宋体" w:cs="宋体"/>
                <w:kern w:val="0"/>
                <w:szCs w:val="21"/>
                <w:lang w:val="en-US" w:eastAsia="zh-CN" w:bidi="ar"/>
              </w:rPr>
              <w:t>联勤路755号1-3、2-3室</w:t>
            </w:r>
          </w:p>
        </w:tc>
        <w:tc>
          <w:tcPr>
            <w:tcW w:w="1701" w:type="dxa"/>
            <w:tcBorders>
              <w:top w:val="single" w:color="auto" w:sz="4" w:space="0"/>
              <w:left w:val="single" w:color="auto" w:sz="4" w:space="0"/>
              <w:bottom w:val="single" w:color="auto" w:sz="4" w:space="0"/>
              <w:right w:val="single" w:color="auto" w:sz="4" w:space="0"/>
            </w:tcBorders>
            <w:vAlign w:val="center"/>
          </w:tcPr>
          <w:p w14:paraId="30BCA493">
            <w:pPr>
              <w:widowControl/>
              <w:spacing w:line="440" w:lineRule="exact"/>
              <w:jc w:val="center"/>
              <w:textAlignment w:val="center"/>
              <w:rPr>
                <w:rFonts w:hint="default" w:ascii="宋体" w:hAnsi="宋体" w:eastAsia="宋体" w:cs="宋体"/>
                <w:kern w:val="0"/>
                <w:szCs w:val="21"/>
                <w:lang w:val="en-US" w:bidi="ar"/>
              </w:rPr>
            </w:pPr>
            <w:r>
              <w:rPr>
                <w:rFonts w:hint="eastAsia" w:ascii="宋体" w:hAnsi="宋体" w:eastAsia="宋体" w:cs="宋体"/>
                <w:kern w:val="0"/>
                <w:szCs w:val="21"/>
                <w:lang w:val="en-US" w:eastAsia="zh-CN" w:bidi="ar"/>
              </w:rPr>
              <w:t>262.27</w:t>
            </w:r>
          </w:p>
        </w:tc>
        <w:tc>
          <w:tcPr>
            <w:tcW w:w="1701" w:type="dxa"/>
            <w:tcBorders>
              <w:top w:val="single" w:color="auto" w:sz="4" w:space="0"/>
              <w:left w:val="single" w:color="auto" w:sz="4" w:space="0"/>
              <w:bottom w:val="single" w:color="auto" w:sz="4" w:space="0"/>
              <w:right w:val="single" w:color="auto" w:sz="4" w:space="0"/>
            </w:tcBorders>
            <w:vAlign w:val="center"/>
          </w:tcPr>
          <w:p w14:paraId="6CCB33DF">
            <w:pPr>
              <w:widowControl/>
              <w:spacing w:line="440" w:lineRule="exact"/>
              <w:jc w:val="center"/>
              <w:textAlignment w:val="center"/>
              <w:rPr>
                <w:rFonts w:ascii="宋体" w:hAnsi="宋体" w:eastAsia="宋体" w:cs="宋体"/>
                <w:kern w:val="0"/>
                <w:szCs w:val="21"/>
                <w:lang w:bidi="ar"/>
              </w:rPr>
            </w:pPr>
            <w:r>
              <w:rPr>
                <w:rFonts w:hint="eastAsia" w:ascii="宋体" w:hAnsi="宋体" w:eastAsia="宋体" w:cs="宋体"/>
                <w:szCs w:val="21"/>
                <w:lang w:val="en-US" w:eastAsia="zh-CN"/>
              </w:rPr>
              <w:t>78800</w:t>
            </w:r>
          </w:p>
        </w:tc>
        <w:tc>
          <w:tcPr>
            <w:tcW w:w="1842" w:type="dxa"/>
            <w:tcBorders>
              <w:top w:val="single" w:color="auto" w:sz="4" w:space="0"/>
              <w:left w:val="single" w:color="auto" w:sz="4" w:space="0"/>
              <w:bottom w:val="single" w:color="auto" w:sz="4" w:space="0"/>
              <w:right w:val="single" w:color="auto" w:sz="4" w:space="0"/>
            </w:tcBorders>
            <w:vAlign w:val="center"/>
          </w:tcPr>
          <w:p w14:paraId="0CF3AB61">
            <w:pPr>
              <w:spacing w:line="440" w:lineRule="exact"/>
              <w:jc w:val="center"/>
              <w:rPr>
                <w:rFonts w:ascii="宋体" w:hAnsi="宋体" w:eastAsia="宋体" w:cs="宋体"/>
                <w:szCs w:val="21"/>
              </w:rPr>
            </w:pPr>
            <w:r>
              <w:rPr>
                <w:rFonts w:ascii="宋体" w:hAnsi="宋体" w:eastAsia="宋体" w:cs="宋体"/>
                <w:szCs w:val="21"/>
              </w:rPr>
              <w:t>20000</w:t>
            </w:r>
            <w:r>
              <w:rPr>
                <w:rFonts w:hint="eastAsia" w:ascii="宋体" w:hAnsi="宋体" w:eastAsia="宋体" w:cs="宋体"/>
                <w:szCs w:val="21"/>
              </w:rPr>
              <w:t xml:space="preserve"> </w:t>
            </w:r>
          </w:p>
        </w:tc>
      </w:tr>
      <w:tr w14:paraId="7B319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9" w:type="dxa"/>
            <w:tcBorders>
              <w:top w:val="single" w:color="auto" w:sz="4" w:space="0"/>
              <w:left w:val="single" w:color="auto" w:sz="4" w:space="0"/>
              <w:bottom w:val="single" w:color="auto" w:sz="4" w:space="0"/>
              <w:right w:val="single" w:color="auto" w:sz="4" w:space="0"/>
            </w:tcBorders>
            <w:vAlign w:val="center"/>
          </w:tcPr>
          <w:p w14:paraId="3ABB846E">
            <w:pPr>
              <w:spacing w:line="440" w:lineRule="exact"/>
              <w:jc w:val="center"/>
              <w:rPr>
                <w:rFonts w:ascii="宋体" w:hAnsi="宋体" w:eastAsia="宋体" w:cs="宋体"/>
                <w:szCs w:val="21"/>
              </w:rPr>
            </w:pPr>
            <w:r>
              <w:rPr>
                <w:rFonts w:hint="eastAsia" w:ascii="宋体" w:hAnsi="宋体" w:eastAsia="宋体" w:cs="宋体"/>
                <w:szCs w:val="21"/>
              </w:rPr>
              <w:t>8</w:t>
            </w:r>
          </w:p>
        </w:tc>
        <w:tc>
          <w:tcPr>
            <w:tcW w:w="2694" w:type="dxa"/>
            <w:tcBorders>
              <w:top w:val="single" w:color="auto" w:sz="4" w:space="0"/>
              <w:left w:val="single" w:color="auto" w:sz="4" w:space="0"/>
              <w:bottom w:val="single" w:color="auto" w:sz="4" w:space="0"/>
              <w:right w:val="single" w:color="auto" w:sz="4" w:space="0"/>
            </w:tcBorders>
            <w:vAlign w:val="center"/>
          </w:tcPr>
          <w:p w14:paraId="2A6D0609">
            <w:pPr>
              <w:spacing w:line="300" w:lineRule="exact"/>
              <w:jc w:val="center"/>
              <w:rPr>
                <w:rFonts w:ascii="宋体" w:hAnsi="宋体" w:eastAsia="宋体" w:cs="宋体"/>
                <w:kern w:val="0"/>
                <w:szCs w:val="21"/>
                <w:lang w:bidi="ar"/>
              </w:rPr>
            </w:pPr>
            <w:r>
              <w:rPr>
                <w:rFonts w:hint="eastAsia" w:ascii="宋体" w:hAnsi="宋体" w:eastAsia="宋体" w:cs="宋体"/>
                <w:kern w:val="0"/>
                <w:szCs w:val="21"/>
                <w:lang w:bidi="ar"/>
              </w:rPr>
              <w:t>联勤路273号1-4室</w:t>
            </w:r>
          </w:p>
        </w:tc>
        <w:tc>
          <w:tcPr>
            <w:tcW w:w="1701" w:type="dxa"/>
            <w:tcBorders>
              <w:top w:val="single" w:color="auto" w:sz="4" w:space="0"/>
              <w:left w:val="single" w:color="auto" w:sz="4" w:space="0"/>
              <w:bottom w:val="single" w:color="auto" w:sz="4" w:space="0"/>
              <w:right w:val="single" w:color="auto" w:sz="4" w:space="0"/>
            </w:tcBorders>
            <w:vAlign w:val="center"/>
          </w:tcPr>
          <w:p w14:paraId="1ADA4631">
            <w:pPr>
              <w:widowControl/>
              <w:spacing w:line="440" w:lineRule="exact"/>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130.17</w:t>
            </w:r>
          </w:p>
        </w:tc>
        <w:tc>
          <w:tcPr>
            <w:tcW w:w="1701" w:type="dxa"/>
            <w:tcBorders>
              <w:top w:val="single" w:color="auto" w:sz="4" w:space="0"/>
              <w:left w:val="single" w:color="auto" w:sz="4" w:space="0"/>
              <w:bottom w:val="single" w:color="auto" w:sz="4" w:space="0"/>
              <w:right w:val="single" w:color="auto" w:sz="4" w:space="0"/>
            </w:tcBorders>
            <w:vAlign w:val="center"/>
          </w:tcPr>
          <w:p w14:paraId="7F7B9C00">
            <w:pPr>
              <w:spacing w:line="440" w:lineRule="exact"/>
              <w:jc w:val="center"/>
              <w:rPr>
                <w:rFonts w:ascii="宋体" w:hAnsi="宋体" w:eastAsia="宋体" w:cs="宋体"/>
                <w:szCs w:val="21"/>
              </w:rPr>
            </w:pPr>
            <w:r>
              <w:rPr>
                <w:rFonts w:hint="eastAsia" w:ascii="宋体" w:hAnsi="宋体" w:eastAsia="宋体" w:cs="宋体"/>
                <w:szCs w:val="21"/>
              </w:rPr>
              <w:t>73500</w:t>
            </w:r>
          </w:p>
        </w:tc>
        <w:tc>
          <w:tcPr>
            <w:tcW w:w="1842" w:type="dxa"/>
            <w:tcBorders>
              <w:top w:val="single" w:color="auto" w:sz="4" w:space="0"/>
              <w:left w:val="single" w:color="auto" w:sz="4" w:space="0"/>
              <w:bottom w:val="single" w:color="auto" w:sz="4" w:space="0"/>
              <w:right w:val="single" w:color="auto" w:sz="4" w:space="0"/>
            </w:tcBorders>
            <w:vAlign w:val="center"/>
          </w:tcPr>
          <w:p w14:paraId="368B9287">
            <w:pPr>
              <w:spacing w:line="440" w:lineRule="exact"/>
              <w:jc w:val="center"/>
              <w:rPr>
                <w:rFonts w:ascii="宋体" w:hAnsi="宋体" w:eastAsia="宋体" w:cs="宋体"/>
                <w:szCs w:val="21"/>
              </w:rPr>
            </w:pPr>
            <w:r>
              <w:rPr>
                <w:rFonts w:ascii="宋体" w:hAnsi="宋体" w:eastAsia="宋体" w:cs="宋体"/>
                <w:szCs w:val="21"/>
              </w:rPr>
              <w:t>20000</w:t>
            </w:r>
            <w:r>
              <w:rPr>
                <w:rFonts w:hint="eastAsia" w:ascii="宋体" w:hAnsi="宋体" w:eastAsia="宋体" w:cs="宋体"/>
                <w:szCs w:val="21"/>
              </w:rPr>
              <w:t xml:space="preserve"> </w:t>
            </w:r>
          </w:p>
        </w:tc>
      </w:tr>
      <w:tr w14:paraId="6D6ED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9" w:type="dxa"/>
            <w:tcBorders>
              <w:top w:val="single" w:color="auto" w:sz="4" w:space="0"/>
              <w:left w:val="single" w:color="auto" w:sz="4" w:space="0"/>
              <w:bottom w:val="single" w:color="auto" w:sz="4" w:space="0"/>
              <w:right w:val="single" w:color="auto" w:sz="4" w:space="0"/>
            </w:tcBorders>
            <w:vAlign w:val="center"/>
          </w:tcPr>
          <w:p w14:paraId="1EE5A456">
            <w:pPr>
              <w:spacing w:line="440" w:lineRule="exact"/>
              <w:jc w:val="center"/>
              <w:rPr>
                <w:rFonts w:ascii="宋体" w:hAnsi="宋体" w:eastAsia="宋体" w:cs="宋体"/>
                <w:szCs w:val="21"/>
              </w:rPr>
            </w:pPr>
            <w:r>
              <w:rPr>
                <w:rFonts w:hint="eastAsia" w:ascii="宋体" w:hAnsi="宋体" w:eastAsia="宋体" w:cs="宋体"/>
                <w:szCs w:val="21"/>
              </w:rPr>
              <w:t>9</w:t>
            </w:r>
          </w:p>
        </w:tc>
        <w:tc>
          <w:tcPr>
            <w:tcW w:w="2694" w:type="dxa"/>
            <w:tcBorders>
              <w:top w:val="single" w:color="auto" w:sz="4" w:space="0"/>
              <w:left w:val="single" w:color="auto" w:sz="4" w:space="0"/>
              <w:bottom w:val="single" w:color="auto" w:sz="4" w:space="0"/>
              <w:right w:val="single" w:color="auto" w:sz="4" w:space="0"/>
            </w:tcBorders>
            <w:vAlign w:val="center"/>
          </w:tcPr>
          <w:p w14:paraId="7C94C173">
            <w:pPr>
              <w:spacing w:line="300" w:lineRule="exact"/>
              <w:jc w:val="center"/>
              <w:rPr>
                <w:rFonts w:ascii="宋体" w:hAnsi="宋体" w:eastAsia="宋体" w:cs="宋体"/>
                <w:kern w:val="0"/>
                <w:szCs w:val="21"/>
                <w:lang w:bidi="ar"/>
              </w:rPr>
            </w:pPr>
            <w:r>
              <w:rPr>
                <w:rFonts w:hint="eastAsia" w:ascii="宋体" w:hAnsi="宋体" w:eastAsia="宋体" w:cs="宋体"/>
                <w:kern w:val="0"/>
                <w:szCs w:val="21"/>
                <w:lang w:bidi="ar"/>
              </w:rPr>
              <w:t>联勤路269号1-3室</w:t>
            </w:r>
          </w:p>
        </w:tc>
        <w:tc>
          <w:tcPr>
            <w:tcW w:w="1701" w:type="dxa"/>
            <w:tcBorders>
              <w:top w:val="single" w:color="auto" w:sz="4" w:space="0"/>
              <w:left w:val="single" w:color="auto" w:sz="4" w:space="0"/>
              <w:bottom w:val="single" w:color="auto" w:sz="4" w:space="0"/>
              <w:right w:val="single" w:color="auto" w:sz="4" w:space="0"/>
            </w:tcBorders>
            <w:vAlign w:val="center"/>
          </w:tcPr>
          <w:p w14:paraId="7072AE62">
            <w:pPr>
              <w:widowControl/>
              <w:spacing w:line="440" w:lineRule="exact"/>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105.45</w:t>
            </w:r>
          </w:p>
        </w:tc>
        <w:tc>
          <w:tcPr>
            <w:tcW w:w="1701" w:type="dxa"/>
            <w:tcBorders>
              <w:top w:val="single" w:color="auto" w:sz="4" w:space="0"/>
              <w:left w:val="single" w:color="auto" w:sz="4" w:space="0"/>
              <w:bottom w:val="single" w:color="auto" w:sz="4" w:space="0"/>
              <w:right w:val="single" w:color="auto" w:sz="4" w:space="0"/>
            </w:tcBorders>
            <w:vAlign w:val="center"/>
          </w:tcPr>
          <w:p w14:paraId="49F2EEBD">
            <w:pPr>
              <w:spacing w:line="440" w:lineRule="exact"/>
              <w:jc w:val="center"/>
              <w:rPr>
                <w:rFonts w:ascii="宋体" w:hAnsi="宋体" w:eastAsia="宋体" w:cs="宋体"/>
                <w:szCs w:val="21"/>
              </w:rPr>
            </w:pPr>
            <w:r>
              <w:rPr>
                <w:rFonts w:hint="eastAsia" w:ascii="宋体" w:hAnsi="宋体" w:eastAsia="宋体" w:cs="宋体"/>
                <w:szCs w:val="21"/>
              </w:rPr>
              <w:t>62600</w:t>
            </w:r>
          </w:p>
        </w:tc>
        <w:tc>
          <w:tcPr>
            <w:tcW w:w="1842" w:type="dxa"/>
            <w:tcBorders>
              <w:top w:val="single" w:color="auto" w:sz="4" w:space="0"/>
              <w:left w:val="single" w:color="auto" w:sz="4" w:space="0"/>
              <w:bottom w:val="single" w:color="auto" w:sz="4" w:space="0"/>
              <w:right w:val="single" w:color="auto" w:sz="4" w:space="0"/>
            </w:tcBorders>
            <w:vAlign w:val="center"/>
          </w:tcPr>
          <w:p w14:paraId="3036F2B2">
            <w:pPr>
              <w:spacing w:line="440" w:lineRule="exact"/>
              <w:jc w:val="center"/>
              <w:rPr>
                <w:rFonts w:ascii="宋体" w:hAnsi="宋体" w:eastAsia="宋体" w:cs="宋体"/>
                <w:szCs w:val="21"/>
              </w:rPr>
            </w:pPr>
            <w:r>
              <w:rPr>
                <w:rFonts w:ascii="宋体" w:hAnsi="宋体" w:eastAsia="宋体" w:cs="宋体"/>
                <w:szCs w:val="21"/>
              </w:rPr>
              <w:t>20000</w:t>
            </w:r>
            <w:r>
              <w:rPr>
                <w:rFonts w:hint="eastAsia" w:ascii="宋体" w:hAnsi="宋体" w:eastAsia="宋体" w:cs="宋体"/>
                <w:szCs w:val="21"/>
              </w:rPr>
              <w:t xml:space="preserve"> </w:t>
            </w:r>
          </w:p>
        </w:tc>
      </w:tr>
      <w:tr w14:paraId="1AF3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9" w:type="dxa"/>
            <w:tcBorders>
              <w:top w:val="single" w:color="auto" w:sz="4" w:space="0"/>
              <w:left w:val="single" w:color="auto" w:sz="4" w:space="0"/>
              <w:bottom w:val="single" w:color="auto" w:sz="4" w:space="0"/>
              <w:right w:val="single" w:color="auto" w:sz="4" w:space="0"/>
            </w:tcBorders>
            <w:vAlign w:val="center"/>
          </w:tcPr>
          <w:p w14:paraId="48BA8D93">
            <w:pPr>
              <w:spacing w:line="440" w:lineRule="exact"/>
              <w:jc w:val="center"/>
              <w:rPr>
                <w:rFonts w:ascii="宋体" w:hAnsi="宋体" w:eastAsia="宋体" w:cs="宋体"/>
                <w:szCs w:val="21"/>
              </w:rPr>
            </w:pPr>
            <w:r>
              <w:rPr>
                <w:rFonts w:hint="eastAsia" w:ascii="宋体" w:hAnsi="宋体" w:eastAsia="宋体" w:cs="宋体"/>
                <w:szCs w:val="21"/>
              </w:rPr>
              <w:t>10</w:t>
            </w:r>
          </w:p>
        </w:tc>
        <w:tc>
          <w:tcPr>
            <w:tcW w:w="2694" w:type="dxa"/>
            <w:tcBorders>
              <w:top w:val="single" w:color="auto" w:sz="4" w:space="0"/>
              <w:left w:val="single" w:color="auto" w:sz="4" w:space="0"/>
              <w:bottom w:val="single" w:color="auto" w:sz="4" w:space="0"/>
              <w:right w:val="single" w:color="auto" w:sz="4" w:space="0"/>
            </w:tcBorders>
            <w:vAlign w:val="center"/>
          </w:tcPr>
          <w:p w14:paraId="396D171C">
            <w:pPr>
              <w:spacing w:line="300" w:lineRule="exact"/>
              <w:jc w:val="center"/>
              <w:rPr>
                <w:rFonts w:ascii="宋体" w:hAnsi="宋体" w:eastAsia="宋体" w:cs="宋体"/>
                <w:kern w:val="0"/>
                <w:szCs w:val="21"/>
                <w:lang w:bidi="ar"/>
              </w:rPr>
            </w:pPr>
            <w:r>
              <w:rPr>
                <w:rFonts w:hint="eastAsia" w:ascii="宋体" w:hAnsi="宋体" w:eastAsia="宋体" w:cs="宋体"/>
                <w:kern w:val="0"/>
                <w:szCs w:val="21"/>
                <w:lang w:bidi="ar"/>
              </w:rPr>
              <w:t>联勤路265号1-2室</w:t>
            </w:r>
          </w:p>
        </w:tc>
        <w:tc>
          <w:tcPr>
            <w:tcW w:w="1701" w:type="dxa"/>
            <w:tcBorders>
              <w:top w:val="single" w:color="auto" w:sz="4" w:space="0"/>
              <w:left w:val="single" w:color="auto" w:sz="4" w:space="0"/>
              <w:bottom w:val="single" w:color="auto" w:sz="4" w:space="0"/>
              <w:right w:val="single" w:color="auto" w:sz="4" w:space="0"/>
            </w:tcBorders>
            <w:vAlign w:val="center"/>
          </w:tcPr>
          <w:p w14:paraId="6BFEEA53">
            <w:pPr>
              <w:widowControl/>
              <w:spacing w:line="440" w:lineRule="exact"/>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82.55</w:t>
            </w:r>
          </w:p>
        </w:tc>
        <w:tc>
          <w:tcPr>
            <w:tcW w:w="1701" w:type="dxa"/>
            <w:tcBorders>
              <w:top w:val="single" w:color="auto" w:sz="4" w:space="0"/>
              <w:left w:val="single" w:color="auto" w:sz="4" w:space="0"/>
              <w:bottom w:val="single" w:color="auto" w:sz="4" w:space="0"/>
              <w:right w:val="single" w:color="auto" w:sz="4" w:space="0"/>
            </w:tcBorders>
            <w:vAlign w:val="center"/>
          </w:tcPr>
          <w:p w14:paraId="3983D8FE">
            <w:pPr>
              <w:spacing w:line="440" w:lineRule="exact"/>
              <w:jc w:val="center"/>
              <w:rPr>
                <w:rFonts w:ascii="宋体" w:hAnsi="宋体" w:eastAsia="宋体" w:cs="宋体"/>
                <w:szCs w:val="21"/>
              </w:rPr>
            </w:pPr>
            <w:r>
              <w:rPr>
                <w:rFonts w:hint="eastAsia" w:ascii="宋体" w:hAnsi="宋体" w:eastAsia="宋体" w:cs="宋体"/>
                <w:szCs w:val="21"/>
              </w:rPr>
              <w:t>83000</w:t>
            </w:r>
          </w:p>
        </w:tc>
        <w:tc>
          <w:tcPr>
            <w:tcW w:w="1842" w:type="dxa"/>
            <w:tcBorders>
              <w:top w:val="single" w:color="auto" w:sz="4" w:space="0"/>
              <w:left w:val="single" w:color="auto" w:sz="4" w:space="0"/>
              <w:bottom w:val="single" w:color="auto" w:sz="4" w:space="0"/>
              <w:right w:val="single" w:color="auto" w:sz="4" w:space="0"/>
            </w:tcBorders>
            <w:vAlign w:val="center"/>
          </w:tcPr>
          <w:p w14:paraId="5446C750">
            <w:pPr>
              <w:spacing w:line="440" w:lineRule="exact"/>
              <w:jc w:val="center"/>
              <w:rPr>
                <w:rFonts w:ascii="宋体" w:hAnsi="宋体" w:eastAsia="宋体" w:cs="宋体"/>
                <w:szCs w:val="21"/>
              </w:rPr>
            </w:pPr>
            <w:r>
              <w:rPr>
                <w:rFonts w:ascii="宋体" w:hAnsi="宋体" w:eastAsia="宋体" w:cs="宋体"/>
                <w:szCs w:val="21"/>
              </w:rPr>
              <w:t>20000</w:t>
            </w:r>
            <w:r>
              <w:rPr>
                <w:rFonts w:hint="eastAsia" w:ascii="宋体" w:hAnsi="宋体" w:eastAsia="宋体" w:cs="宋体"/>
                <w:szCs w:val="21"/>
              </w:rPr>
              <w:t xml:space="preserve"> </w:t>
            </w:r>
          </w:p>
        </w:tc>
      </w:tr>
      <w:tr w14:paraId="0CF49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9" w:type="dxa"/>
            <w:tcBorders>
              <w:top w:val="single" w:color="auto" w:sz="4" w:space="0"/>
              <w:left w:val="single" w:color="auto" w:sz="4" w:space="0"/>
              <w:bottom w:val="single" w:color="auto" w:sz="4" w:space="0"/>
              <w:right w:val="single" w:color="auto" w:sz="4" w:space="0"/>
            </w:tcBorders>
            <w:vAlign w:val="center"/>
          </w:tcPr>
          <w:p w14:paraId="774DA2E4">
            <w:pPr>
              <w:spacing w:line="440" w:lineRule="exact"/>
              <w:jc w:val="center"/>
              <w:rPr>
                <w:rFonts w:ascii="宋体" w:hAnsi="宋体" w:eastAsia="宋体" w:cs="宋体"/>
                <w:szCs w:val="21"/>
              </w:rPr>
            </w:pPr>
            <w:r>
              <w:rPr>
                <w:rFonts w:hint="eastAsia" w:ascii="宋体" w:hAnsi="宋体" w:eastAsia="宋体" w:cs="宋体"/>
                <w:szCs w:val="21"/>
              </w:rPr>
              <w:t>11</w:t>
            </w:r>
          </w:p>
        </w:tc>
        <w:tc>
          <w:tcPr>
            <w:tcW w:w="2694" w:type="dxa"/>
            <w:tcBorders>
              <w:top w:val="single" w:color="auto" w:sz="4" w:space="0"/>
              <w:left w:val="single" w:color="auto" w:sz="4" w:space="0"/>
              <w:bottom w:val="single" w:color="auto" w:sz="4" w:space="0"/>
              <w:right w:val="single" w:color="auto" w:sz="4" w:space="0"/>
            </w:tcBorders>
            <w:vAlign w:val="center"/>
          </w:tcPr>
          <w:p w14:paraId="0E23D4EB">
            <w:pPr>
              <w:spacing w:line="300" w:lineRule="exact"/>
              <w:jc w:val="center"/>
              <w:rPr>
                <w:rFonts w:ascii="宋体" w:hAnsi="宋体" w:eastAsia="宋体" w:cs="宋体"/>
                <w:kern w:val="0"/>
                <w:szCs w:val="21"/>
                <w:lang w:bidi="ar"/>
              </w:rPr>
            </w:pPr>
            <w:r>
              <w:rPr>
                <w:rFonts w:hint="eastAsia" w:ascii="宋体" w:hAnsi="宋体" w:eastAsia="宋体" w:cs="宋体"/>
                <w:kern w:val="0"/>
                <w:szCs w:val="21"/>
                <w:lang w:bidi="ar"/>
              </w:rPr>
              <w:t>联勤路261号1-1室</w:t>
            </w:r>
          </w:p>
        </w:tc>
        <w:tc>
          <w:tcPr>
            <w:tcW w:w="1701" w:type="dxa"/>
            <w:tcBorders>
              <w:top w:val="single" w:color="auto" w:sz="4" w:space="0"/>
              <w:left w:val="single" w:color="auto" w:sz="4" w:space="0"/>
              <w:bottom w:val="single" w:color="auto" w:sz="4" w:space="0"/>
              <w:right w:val="single" w:color="auto" w:sz="4" w:space="0"/>
            </w:tcBorders>
            <w:vAlign w:val="center"/>
          </w:tcPr>
          <w:p w14:paraId="4A46EC43">
            <w:pPr>
              <w:widowControl/>
              <w:spacing w:line="440" w:lineRule="exact"/>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55.46</w:t>
            </w:r>
          </w:p>
        </w:tc>
        <w:tc>
          <w:tcPr>
            <w:tcW w:w="1701" w:type="dxa"/>
            <w:tcBorders>
              <w:top w:val="single" w:color="auto" w:sz="4" w:space="0"/>
              <w:left w:val="single" w:color="auto" w:sz="4" w:space="0"/>
              <w:bottom w:val="single" w:color="auto" w:sz="4" w:space="0"/>
              <w:right w:val="single" w:color="auto" w:sz="4" w:space="0"/>
            </w:tcBorders>
            <w:vAlign w:val="center"/>
          </w:tcPr>
          <w:p w14:paraId="4AE812F7">
            <w:pPr>
              <w:spacing w:line="440" w:lineRule="exact"/>
              <w:jc w:val="center"/>
              <w:rPr>
                <w:rFonts w:ascii="宋体" w:hAnsi="宋体" w:eastAsia="宋体" w:cs="宋体"/>
                <w:szCs w:val="21"/>
              </w:rPr>
            </w:pPr>
            <w:r>
              <w:rPr>
                <w:rFonts w:hint="eastAsia" w:ascii="宋体" w:hAnsi="宋体" w:eastAsia="宋体" w:cs="宋体"/>
                <w:szCs w:val="21"/>
              </w:rPr>
              <w:t>89400</w:t>
            </w:r>
          </w:p>
        </w:tc>
        <w:tc>
          <w:tcPr>
            <w:tcW w:w="1842" w:type="dxa"/>
            <w:tcBorders>
              <w:top w:val="single" w:color="auto" w:sz="4" w:space="0"/>
              <w:left w:val="single" w:color="auto" w:sz="4" w:space="0"/>
              <w:bottom w:val="single" w:color="auto" w:sz="4" w:space="0"/>
              <w:right w:val="single" w:color="auto" w:sz="4" w:space="0"/>
            </w:tcBorders>
            <w:vAlign w:val="center"/>
          </w:tcPr>
          <w:p w14:paraId="2742E8EB">
            <w:pPr>
              <w:spacing w:line="440" w:lineRule="exact"/>
              <w:jc w:val="center"/>
              <w:rPr>
                <w:rFonts w:ascii="宋体" w:hAnsi="宋体" w:eastAsia="宋体" w:cs="宋体"/>
                <w:szCs w:val="21"/>
              </w:rPr>
            </w:pPr>
            <w:r>
              <w:rPr>
                <w:rFonts w:ascii="宋体" w:hAnsi="宋体" w:eastAsia="宋体" w:cs="宋体"/>
                <w:szCs w:val="21"/>
              </w:rPr>
              <w:t>20000</w:t>
            </w:r>
            <w:r>
              <w:rPr>
                <w:rFonts w:hint="eastAsia" w:ascii="宋体" w:hAnsi="宋体" w:eastAsia="宋体" w:cs="宋体"/>
                <w:szCs w:val="21"/>
              </w:rPr>
              <w:t xml:space="preserve"> </w:t>
            </w:r>
          </w:p>
        </w:tc>
      </w:tr>
      <w:tr w14:paraId="5D83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9" w:type="dxa"/>
            <w:tcBorders>
              <w:top w:val="single" w:color="auto" w:sz="4" w:space="0"/>
              <w:left w:val="single" w:color="auto" w:sz="4" w:space="0"/>
              <w:bottom w:val="single" w:color="auto" w:sz="4" w:space="0"/>
              <w:right w:val="single" w:color="auto" w:sz="4" w:space="0"/>
            </w:tcBorders>
            <w:vAlign w:val="center"/>
          </w:tcPr>
          <w:p w14:paraId="752F2578">
            <w:pPr>
              <w:spacing w:line="440" w:lineRule="exact"/>
              <w:jc w:val="center"/>
              <w:rPr>
                <w:rFonts w:ascii="宋体" w:hAnsi="宋体" w:eastAsia="宋体" w:cs="宋体"/>
                <w:szCs w:val="21"/>
              </w:rPr>
            </w:pPr>
            <w:r>
              <w:rPr>
                <w:rFonts w:hint="eastAsia" w:ascii="宋体" w:hAnsi="宋体" w:eastAsia="宋体" w:cs="宋体"/>
                <w:szCs w:val="21"/>
              </w:rPr>
              <w:t>12</w:t>
            </w:r>
          </w:p>
        </w:tc>
        <w:tc>
          <w:tcPr>
            <w:tcW w:w="2694" w:type="dxa"/>
            <w:tcBorders>
              <w:top w:val="single" w:color="auto" w:sz="4" w:space="0"/>
              <w:left w:val="single" w:color="auto" w:sz="4" w:space="0"/>
              <w:bottom w:val="single" w:color="auto" w:sz="4" w:space="0"/>
              <w:right w:val="single" w:color="auto" w:sz="4" w:space="0"/>
            </w:tcBorders>
            <w:vAlign w:val="center"/>
          </w:tcPr>
          <w:p w14:paraId="619B68D0">
            <w:pPr>
              <w:spacing w:line="300" w:lineRule="exact"/>
              <w:jc w:val="center"/>
              <w:rPr>
                <w:rFonts w:ascii="宋体" w:hAnsi="宋体" w:eastAsia="宋体" w:cs="宋体"/>
                <w:kern w:val="0"/>
                <w:szCs w:val="21"/>
                <w:lang w:bidi="ar"/>
              </w:rPr>
            </w:pPr>
            <w:r>
              <w:rPr>
                <w:rFonts w:hint="eastAsia" w:ascii="宋体" w:hAnsi="宋体" w:eastAsia="宋体" w:cs="宋体"/>
                <w:kern w:val="0"/>
                <w:szCs w:val="21"/>
                <w:lang w:bidi="ar"/>
              </w:rPr>
              <w:t>联勤路245号1-7室</w:t>
            </w:r>
          </w:p>
        </w:tc>
        <w:tc>
          <w:tcPr>
            <w:tcW w:w="1701" w:type="dxa"/>
            <w:tcBorders>
              <w:top w:val="single" w:color="auto" w:sz="4" w:space="0"/>
              <w:left w:val="single" w:color="auto" w:sz="4" w:space="0"/>
              <w:bottom w:val="single" w:color="auto" w:sz="4" w:space="0"/>
              <w:right w:val="single" w:color="auto" w:sz="4" w:space="0"/>
            </w:tcBorders>
            <w:vAlign w:val="center"/>
          </w:tcPr>
          <w:p w14:paraId="7A7AAAF8">
            <w:pPr>
              <w:widowControl/>
              <w:spacing w:line="440" w:lineRule="exact"/>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107.91</w:t>
            </w:r>
          </w:p>
        </w:tc>
        <w:tc>
          <w:tcPr>
            <w:tcW w:w="1701" w:type="dxa"/>
            <w:tcBorders>
              <w:top w:val="single" w:color="auto" w:sz="4" w:space="0"/>
              <w:left w:val="single" w:color="auto" w:sz="4" w:space="0"/>
              <w:bottom w:val="single" w:color="auto" w:sz="4" w:space="0"/>
              <w:right w:val="single" w:color="auto" w:sz="4" w:space="0"/>
            </w:tcBorders>
            <w:vAlign w:val="center"/>
          </w:tcPr>
          <w:p w14:paraId="3BEB1659">
            <w:pPr>
              <w:spacing w:line="440" w:lineRule="exact"/>
              <w:jc w:val="center"/>
              <w:rPr>
                <w:rFonts w:ascii="宋体" w:hAnsi="宋体" w:eastAsia="宋体" w:cs="宋体"/>
                <w:szCs w:val="21"/>
              </w:rPr>
            </w:pPr>
            <w:r>
              <w:rPr>
                <w:rFonts w:hint="eastAsia" w:ascii="宋体" w:hAnsi="宋体" w:eastAsia="宋体" w:cs="宋体"/>
                <w:szCs w:val="21"/>
              </w:rPr>
              <w:t>86500</w:t>
            </w:r>
          </w:p>
        </w:tc>
        <w:tc>
          <w:tcPr>
            <w:tcW w:w="1842" w:type="dxa"/>
            <w:tcBorders>
              <w:top w:val="single" w:color="auto" w:sz="4" w:space="0"/>
              <w:left w:val="single" w:color="auto" w:sz="4" w:space="0"/>
              <w:bottom w:val="single" w:color="auto" w:sz="4" w:space="0"/>
              <w:right w:val="single" w:color="auto" w:sz="4" w:space="0"/>
            </w:tcBorders>
            <w:vAlign w:val="center"/>
          </w:tcPr>
          <w:p w14:paraId="0A5E5A75">
            <w:pPr>
              <w:spacing w:line="440" w:lineRule="exact"/>
              <w:jc w:val="center"/>
              <w:rPr>
                <w:rFonts w:ascii="宋体" w:hAnsi="宋体" w:eastAsia="宋体" w:cs="宋体"/>
                <w:szCs w:val="21"/>
              </w:rPr>
            </w:pPr>
            <w:r>
              <w:rPr>
                <w:rFonts w:ascii="宋体" w:hAnsi="宋体" w:eastAsia="宋体" w:cs="宋体"/>
                <w:szCs w:val="21"/>
              </w:rPr>
              <w:t>20000</w:t>
            </w:r>
            <w:r>
              <w:rPr>
                <w:rFonts w:hint="eastAsia" w:ascii="宋体" w:hAnsi="宋体" w:eastAsia="宋体" w:cs="宋体"/>
                <w:szCs w:val="21"/>
              </w:rPr>
              <w:t xml:space="preserve"> </w:t>
            </w:r>
          </w:p>
        </w:tc>
      </w:tr>
      <w:tr w14:paraId="6B757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9" w:type="dxa"/>
            <w:tcBorders>
              <w:top w:val="single" w:color="auto" w:sz="4" w:space="0"/>
              <w:left w:val="single" w:color="auto" w:sz="4" w:space="0"/>
              <w:bottom w:val="single" w:color="auto" w:sz="4" w:space="0"/>
              <w:right w:val="single" w:color="auto" w:sz="4" w:space="0"/>
            </w:tcBorders>
            <w:vAlign w:val="center"/>
          </w:tcPr>
          <w:p w14:paraId="05F74000">
            <w:pPr>
              <w:spacing w:line="440" w:lineRule="exact"/>
              <w:jc w:val="center"/>
              <w:rPr>
                <w:rFonts w:ascii="宋体" w:hAnsi="宋体" w:eastAsia="宋体" w:cs="宋体"/>
                <w:szCs w:val="21"/>
              </w:rPr>
            </w:pPr>
            <w:r>
              <w:rPr>
                <w:rFonts w:hint="eastAsia" w:ascii="宋体" w:hAnsi="宋体" w:eastAsia="宋体" w:cs="宋体"/>
                <w:szCs w:val="21"/>
              </w:rPr>
              <w:t>13</w:t>
            </w:r>
          </w:p>
        </w:tc>
        <w:tc>
          <w:tcPr>
            <w:tcW w:w="2694" w:type="dxa"/>
            <w:tcBorders>
              <w:top w:val="single" w:color="auto" w:sz="4" w:space="0"/>
              <w:left w:val="single" w:color="auto" w:sz="4" w:space="0"/>
              <w:bottom w:val="single" w:color="auto" w:sz="4" w:space="0"/>
              <w:right w:val="single" w:color="auto" w:sz="4" w:space="0"/>
            </w:tcBorders>
            <w:vAlign w:val="center"/>
          </w:tcPr>
          <w:p w14:paraId="5EE74600">
            <w:pPr>
              <w:spacing w:line="300" w:lineRule="exact"/>
              <w:jc w:val="center"/>
              <w:rPr>
                <w:rFonts w:ascii="宋体" w:hAnsi="宋体" w:eastAsia="宋体" w:cs="宋体"/>
                <w:kern w:val="0"/>
                <w:szCs w:val="21"/>
                <w:lang w:bidi="ar"/>
              </w:rPr>
            </w:pPr>
            <w:r>
              <w:rPr>
                <w:rFonts w:hint="eastAsia" w:ascii="宋体" w:hAnsi="宋体" w:eastAsia="宋体" w:cs="宋体"/>
                <w:kern w:val="0"/>
                <w:szCs w:val="21"/>
                <w:lang w:bidi="ar"/>
              </w:rPr>
              <w:t>联勤路237号1-5室</w:t>
            </w:r>
          </w:p>
        </w:tc>
        <w:tc>
          <w:tcPr>
            <w:tcW w:w="1701" w:type="dxa"/>
            <w:tcBorders>
              <w:top w:val="single" w:color="auto" w:sz="4" w:space="0"/>
              <w:left w:val="single" w:color="auto" w:sz="4" w:space="0"/>
              <w:bottom w:val="single" w:color="auto" w:sz="4" w:space="0"/>
              <w:right w:val="single" w:color="auto" w:sz="4" w:space="0"/>
            </w:tcBorders>
            <w:vAlign w:val="center"/>
          </w:tcPr>
          <w:p w14:paraId="1FA0F5D7">
            <w:pPr>
              <w:widowControl/>
              <w:spacing w:line="440" w:lineRule="exact"/>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133.20</w:t>
            </w:r>
          </w:p>
        </w:tc>
        <w:tc>
          <w:tcPr>
            <w:tcW w:w="1701" w:type="dxa"/>
            <w:tcBorders>
              <w:top w:val="single" w:color="auto" w:sz="4" w:space="0"/>
              <w:left w:val="single" w:color="auto" w:sz="4" w:space="0"/>
              <w:bottom w:val="single" w:color="auto" w:sz="4" w:space="0"/>
              <w:right w:val="single" w:color="auto" w:sz="4" w:space="0"/>
            </w:tcBorders>
            <w:vAlign w:val="center"/>
          </w:tcPr>
          <w:p w14:paraId="107101D8">
            <w:pPr>
              <w:spacing w:line="440" w:lineRule="exact"/>
              <w:jc w:val="center"/>
              <w:rPr>
                <w:rFonts w:ascii="宋体" w:hAnsi="宋体" w:eastAsia="宋体" w:cs="宋体"/>
                <w:szCs w:val="21"/>
              </w:rPr>
            </w:pPr>
            <w:r>
              <w:rPr>
                <w:rFonts w:hint="eastAsia" w:ascii="宋体" w:hAnsi="宋体" w:eastAsia="宋体" w:cs="宋体"/>
                <w:szCs w:val="21"/>
              </w:rPr>
              <w:t>75200</w:t>
            </w:r>
          </w:p>
        </w:tc>
        <w:tc>
          <w:tcPr>
            <w:tcW w:w="1842" w:type="dxa"/>
            <w:tcBorders>
              <w:top w:val="single" w:color="auto" w:sz="4" w:space="0"/>
              <w:left w:val="single" w:color="auto" w:sz="4" w:space="0"/>
              <w:bottom w:val="single" w:color="auto" w:sz="4" w:space="0"/>
              <w:right w:val="single" w:color="auto" w:sz="4" w:space="0"/>
            </w:tcBorders>
            <w:vAlign w:val="center"/>
          </w:tcPr>
          <w:p w14:paraId="5BE75C75">
            <w:pPr>
              <w:spacing w:line="440" w:lineRule="exact"/>
              <w:jc w:val="center"/>
              <w:rPr>
                <w:rFonts w:ascii="宋体" w:hAnsi="宋体" w:eastAsia="宋体" w:cs="宋体"/>
                <w:szCs w:val="21"/>
              </w:rPr>
            </w:pPr>
            <w:r>
              <w:rPr>
                <w:rFonts w:ascii="宋体" w:hAnsi="宋体" w:eastAsia="宋体" w:cs="宋体"/>
                <w:szCs w:val="21"/>
              </w:rPr>
              <w:t>20000</w:t>
            </w:r>
            <w:r>
              <w:rPr>
                <w:rFonts w:hint="eastAsia" w:ascii="宋体" w:hAnsi="宋体" w:eastAsia="宋体" w:cs="宋体"/>
                <w:szCs w:val="21"/>
              </w:rPr>
              <w:t xml:space="preserve"> </w:t>
            </w:r>
          </w:p>
        </w:tc>
      </w:tr>
      <w:tr w14:paraId="5D7B0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9" w:type="dxa"/>
            <w:tcBorders>
              <w:top w:val="single" w:color="auto" w:sz="4" w:space="0"/>
              <w:left w:val="single" w:color="auto" w:sz="4" w:space="0"/>
              <w:bottom w:val="single" w:color="auto" w:sz="4" w:space="0"/>
              <w:right w:val="single" w:color="auto" w:sz="4" w:space="0"/>
            </w:tcBorders>
            <w:vAlign w:val="center"/>
          </w:tcPr>
          <w:p w14:paraId="7E1B6965">
            <w:pPr>
              <w:spacing w:line="440" w:lineRule="exact"/>
              <w:jc w:val="center"/>
              <w:rPr>
                <w:rFonts w:ascii="宋体" w:hAnsi="宋体" w:eastAsia="宋体" w:cs="宋体"/>
                <w:szCs w:val="21"/>
              </w:rPr>
            </w:pPr>
            <w:r>
              <w:rPr>
                <w:rFonts w:hint="eastAsia" w:ascii="宋体" w:hAnsi="宋体" w:eastAsia="宋体" w:cs="宋体"/>
                <w:szCs w:val="21"/>
              </w:rPr>
              <w:t>14</w:t>
            </w:r>
          </w:p>
        </w:tc>
        <w:tc>
          <w:tcPr>
            <w:tcW w:w="2694" w:type="dxa"/>
            <w:tcBorders>
              <w:top w:val="single" w:color="auto" w:sz="4" w:space="0"/>
              <w:left w:val="single" w:color="auto" w:sz="4" w:space="0"/>
              <w:bottom w:val="single" w:color="auto" w:sz="4" w:space="0"/>
              <w:right w:val="single" w:color="auto" w:sz="4" w:space="0"/>
            </w:tcBorders>
            <w:vAlign w:val="center"/>
          </w:tcPr>
          <w:p w14:paraId="22317D2B">
            <w:pPr>
              <w:spacing w:line="300" w:lineRule="exact"/>
              <w:jc w:val="center"/>
              <w:rPr>
                <w:rFonts w:ascii="宋体" w:hAnsi="宋体" w:eastAsia="宋体" w:cs="宋体"/>
                <w:kern w:val="0"/>
                <w:szCs w:val="21"/>
                <w:lang w:bidi="ar"/>
              </w:rPr>
            </w:pPr>
            <w:r>
              <w:rPr>
                <w:rFonts w:hint="eastAsia" w:ascii="宋体" w:hAnsi="宋体" w:eastAsia="宋体" w:cs="宋体"/>
                <w:kern w:val="0"/>
                <w:szCs w:val="21"/>
                <w:lang w:bidi="ar"/>
              </w:rPr>
              <w:t>联勤路241号1-6室</w:t>
            </w:r>
          </w:p>
        </w:tc>
        <w:tc>
          <w:tcPr>
            <w:tcW w:w="1701" w:type="dxa"/>
            <w:tcBorders>
              <w:top w:val="single" w:color="auto" w:sz="4" w:space="0"/>
              <w:left w:val="single" w:color="auto" w:sz="4" w:space="0"/>
              <w:bottom w:val="single" w:color="auto" w:sz="4" w:space="0"/>
              <w:right w:val="single" w:color="auto" w:sz="4" w:space="0"/>
            </w:tcBorders>
            <w:vAlign w:val="center"/>
          </w:tcPr>
          <w:p w14:paraId="0159BF9F">
            <w:pPr>
              <w:widowControl/>
              <w:spacing w:line="440" w:lineRule="exact"/>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107.91</w:t>
            </w:r>
          </w:p>
        </w:tc>
        <w:tc>
          <w:tcPr>
            <w:tcW w:w="1701" w:type="dxa"/>
            <w:tcBorders>
              <w:top w:val="single" w:color="auto" w:sz="4" w:space="0"/>
              <w:left w:val="single" w:color="auto" w:sz="4" w:space="0"/>
              <w:bottom w:val="single" w:color="auto" w:sz="4" w:space="0"/>
              <w:right w:val="single" w:color="auto" w:sz="4" w:space="0"/>
            </w:tcBorders>
            <w:vAlign w:val="center"/>
          </w:tcPr>
          <w:p w14:paraId="29A734A8">
            <w:pPr>
              <w:spacing w:line="440" w:lineRule="exact"/>
              <w:jc w:val="center"/>
              <w:rPr>
                <w:rFonts w:ascii="宋体" w:hAnsi="宋体" w:eastAsia="宋体" w:cs="宋体"/>
                <w:szCs w:val="21"/>
              </w:rPr>
            </w:pPr>
            <w:r>
              <w:rPr>
                <w:rFonts w:hint="eastAsia" w:ascii="宋体" w:hAnsi="宋体" w:eastAsia="宋体" w:cs="宋体"/>
                <w:szCs w:val="21"/>
              </w:rPr>
              <w:t>71200</w:t>
            </w:r>
          </w:p>
        </w:tc>
        <w:tc>
          <w:tcPr>
            <w:tcW w:w="1842" w:type="dxa"/>
            <w:tcBorders>
              <w:top w:val="single" w:color="auto" w:sz="4" w:space="0"/>
              <w:left w:val="single" w:color="auto" w:sz="4" w:space="0"/>
              <w:bottom w:val="single" w:color="auto" w:sz="4" w:space="0"/>
              <w:right w:val="single" w:color="auto" w:sz="4" w:space="0"/>
            </w:tcBorders>
            <w:vAlign w:val="center"/>
          </w:tcPr>
          <w:p w14:paraId="301EDBF7">
            <w:pPr>
              <w:spacing w:line="440" w:lineRule="exact"/>
              <w:jc w:val="center"/>
              <w:rPr>
                <w:rFonts w:ascii="宋体" w:hAnsi="宋体" w:eastAsia="宋体" w:cs="宋体"/>
                <w:szCs w:val="21"/>
              </w:rPr>
            </w:pPr>
            <w:r>
              <w:rPr>
                <w:rFonts w:ascii="宋体" w:hAnsi="宋体" w:eastAsia="宋体" w:cs="宋体"/>
                <w:szCs w:val="21"/>
              </w:rPr>
              <w:t>20000</w:t>
            </w:r>
            <w:r>
              <w:rPr>
                <w:rFonts w:hint="eastAsia" w:ascii="宋体" w:hAnsi="宋体" w:eastAsia="宋体" w:cs="宋体"/>
                <w:szCs w:val="21"/>
              </w:rPr>
              <w:t xml:space="preserve"> </w:t>
            </w:r>
          </w:p>
        </w:tc>
      </w:tr>
    </w:tbl>
    <w:p w14:paraId="0303309E">
      <w:pPr>
        <w:pStyle w:val="6"/>
        <w:widowControl/>
        <w:spacing w:beforeAutospacing="0" w:afterAutospacing="0" w:line="500" w:lineRule="exact"/>
        <w:rPr>
          <w:rFonts w:cs="宋体" w:asciiTheme="majorEastAsia" w:hAnsiTheme="majorEastAsia" w:eastAsiaTheme="majorEastAsia"/>
          <w:color w:val="000000"/>
        </w:rPr>
      </w:pPr>
      <w:bookmarkStart w:id="2" w:name="_GoBack"/>
      <w:bookmarkEnd w:id="2"/>
    </w:p>
    <w:p w14:paraId="1CF4CB67">
      <w:pPr>
        <w:pStyle w:val="6"/>
        <w:widowControl/>
        <w:spacing w:beforeAutospacing="0" w:afterAutospacing="0" w:line="500" w:lineRule="exact"/>
        <w:ind w:firstLine="480"/>
        <w:rPr>
          <w:rFonts w:cs="宋体" w:asciiTheme="majorEastAsia" w:hAnsiTheme="majorEastAsia" w:eastAsiaTheme="majorEastAsia"/>
          <w:color w:val="000000"/>
        </w:rPr>
      </w:pPr>
      <w:r>
        <w:rPr>
          <w:rFonts w:cs="宋体" w:asciiTheme="majorEastAsia" w:hAnsiTheme="majorEastAsia" w:eastAsiaTheme="majorEastAsia"/>
          <w:color w:val="000000"/>
        </w:rPr>
        <w:t>特别注意：</w:t>
      </w:r>
    </w:p>
    <w:p w14:paraId="3548A18A">
      <w:pPr>
        <w:pStyle w:val="6"/>
        <w:widowControl/>
        <w:spacing w:beforeAutospacing="0" w:afterAutospacing="0" w:line="500" w:lineRule="exact"/>
        <w:ind w:firstLine="480"/>
        <w:rPr>
          <w:rFonts w:cs="宋体" w:asciiTheme="majorEastAsia" w:hAnsiTheme="majorEastAsia" w:eastAsiaTheme="majorEastAsia"/>
          <w:color w:val="FF0000"/>
        </w:rPr>
      </w:pPr>
      <w:r>
        <w:rPr>
          <w:rFonts w:cs="宋体" w:asciiTheme="majorEastAsia" w:hAnsiTheme="majorEastAsia" w:eastAsiaTheme="majorEastAsia"/>
          <w:color w:val="FF0000"/>
        </w:rPr>
        <w:t>1、原承租人在同等条件下享有优先承租权。如未报名的,则视为放弃优先租赁权。</w:t>
      </w:r>
    </w:p>
    <w:p w14:paraId="39D0DBB4">
      <w:pPr>
        <w:pStyle w:val="6"/>
        <w:widowControl/>
        <w:spacing w:beforeAutospacing="0" w:afterAutospacing="0" w:line="500" w:lineRule="exact"/>
        <w:ind w:firstLine="480"/>
        <w:rPr>
          <w:rFonts w:cs="宋体" w:asciiTheme="majorEastAsia" w:hAnsiTheme="majorEastAsia" w:eastAsiaTheme="majorEastAsia"/>
          <w:color w:val="FF0000"/>
        </w:rPr>
      </w:pPr>
      <w:r>
        <w:rPr>
          <w:rFonts w:cs="宋体" w:asciiTheme="majorEastAsia" w:hAnsiTheme="majorEastAsia" w:eastAsiaTheme="majorEastAsia"/>
          <w:color w:val="FF0000"/>
        </w:rPr>
        <w:t>2、委托人(出租人)无法保证标的物符合部分有行业注册保护距离规定的业态注册申请和经营许可要求，委托人(出租人)同样无法保证竞</w:t>
      </w:r>
      <w:r>
        <w:rPr>
          <w:rFonts w:hint="eastAsia" w:cs="宋体" w:asciiTheme="majorEastAsia" w:hAnsiTheme="majorEastAsia" w:eastAsiaTheme="majorEastAsia"/>
          <w:color w:val="FF0000"/>
        </w:rPr>
        <w:t>租</w:t>
      </w:r>
      <w:r>
        <w:rPr>
          <w:rFonts w:cs="宋体" w:asciiTheme="majorEastAsia" w:hAnsiTheme="majorEastAsia" w:eastAsiaTheme="majorEastAsia"/>
          <w:color w:val="FF0000"/>
        </w:rPr>
        <w:t>标的物符合商业加盟的经营要求。参与竞租的竞价人应当自行在参与竞租前了解竞租标的物相关情况，视经营需要及要求参与竞租。竞价人参与竞租即视为了解知悉竞租标的物可能存在无法满足取得相关行政许可要求或商业加盟要求的情况。竞买人竞得竞租标的物后，不得以竞租标的物无法取得相关行政许可或者无法参与相关商业加盟为由，不履行相关竞价合同（或者租赁合同）或不承担相关违约责任。</w:t>
      </w:r>
    </w:p>
    <w:p w14:paraId="77144FE4">
      <w:pPr>
        <w:pStyle w:val="6"/>
        <w:widowControl/>
        <w:spacing w:beforeAutospacing="0" w:afterAutospacing="0" w:line="500" w:lineRule="exact"/>
        <w:ind w:firstLine="480"/>
        <w:rPr>
          <w:rFonts w:cs="宋体" w:asciiTheme="majorEastAsia" w:hAnsiTheme="majorEastAsia" w:eastAsiaTheme="majorEastAsia"/>
          <w:color w:val="000000"/>
        </w:rPr>
      </w:pPr>
      <w:r>
        <w:rPr>
          <w:rFonts w:cs="宋体" w:asciiTheme="majorEastAsia" w:hAnsiTheme="majorEastAsia" w:eastAsiaTheme="majorEastAsia"/>
          <w:color w:val="000000"/>
        </w:rPr>
        <w:t>3、买受人（承租人）在签订《成交确认书》、《房屋租赁合同》等相关文件时主体必须是买受人本人或以买受人（承租人）为法人的企业。</w:t>
      </w:r>
    </w:p>
    <w:p w14:paraId="7FC88FE0">
      <w:pPr>
        <w:pStyle w:val="6"/>
        <w:widowControl/>
        <w:spacing w:beforeAutospacing="0" w:afterAutospacing="0" w:line="500" w:lineRule="exact"/>
        <w:ind w:firstLine="480"/>
        <w:rPr>
          <w:rFonts w:cs="宋体" w:asciiTheme="majorEastAsia" w:hAnsiTheme="majorEastAsia" w:eastAsiaTheme="majorEastAsia"/>
          <w:b/>
          <w:bCs/>
          <w:color w:val="000000"/>
        </w:rPr>
      </w:pPr>
      <w:r>
        <w:rPr>
          <w:rFonts w:cs="宋体" w:asciiTheme="majorEastAsia" w:hAnsiTheme="majorEastAsia" w:eastAsiaTheme="majorEastAsia"/>
          <w:b/>
          <w:bCs/>
          <w:color w:val="000000"/>
        </w:rPr>
        <w:t>二、竞</w:t>
      </w:r>
      <w:r>
        <w:rPr>
          <w:rFonts w:hint="eastAsia" w:cs="宋体" w:asciiTheme="majorEastAsia" w:hAnsiTheme="majorEastAsia" w:eastAsiaTheme="majorEastAsia"/>
          <w:b/>
          <w:bCs/>
          <w:color w:val="000000"/>
        </w:rPr>
        <w:t>租</w:t>
      </w:r>
      <w:r>
        <w:rPr>
          <w:rFonts w:cs="宋体" w:asciiTheme="majorEastAsia" w:hAnsiTheme="majorEastAsia" w:eastAsiaTheme="majorEastAsia"/>
          <w:b/>
          <w:bCs/>
          <w:color w:val="000000"/>
        </w:rPr>
        <w:t>人条件及出租限制： </w:t>
      </w:r>
    </w:p>
    <w:p w14:paraId="28AC5C1D">
      <w:pPr>
        <w:pStyle w:val="6"/>
        <w:widowControl/>
        <w:spacing w:beforeAutospacing="0" w:afterAutospacing="0" w:line="500" w:lineRule="exact"/>
        <w:ind w:firstLine="480"/>
        <w:rPr>
          <w:rFonts w:cs="宋体" w:asciiTheme="majorEastAsia" w:hAnsiTheme="majorEastAsia" w:eastAsiaTheme="majorEastAsia"/>
          <w:color w:val="000000"/>
        </w:rPr>
      </w:pPr>
      <w:r>
        <w:rPr>
          <w:rFonts w:cs="宋体" w:asciiTheme="majorEastAsia" w:hAnsiTheme="majorEastAsia" w:eastAsiaTheme="majorEastAsia"/>
          <w:color w:val="000000"/>
        </w:rPr>
        <w:t>1、信誉良好，具有完全民事行为能力的自然人、法人或其他组织。</w:t>
      </w:r>
    </w:p>
    <w:p w14:paraId="3143EB54">
      <w:pPr>
        <w:pStyle w:val="6"/>
        <w:widowControl/>
        <w:spacing w:beforeAutospacing="0" w:afterAutospacing="0" w:line="500" w:lineRule="exact"/>
        <w:ind w:firstLine="480"/>
        <w:rPr>
          <w:rFonts w:cs="宋体" w:asciiTheme="majorEastAsia" w:hAnsiTheme="majorEastAsia" w:eastAsiaTheme="majorEastAsia"/>
          <w:color w:val="000000"/>
        </w:rPr>
      </w:pPr>
      <w:r>
        <w:rPr>
          <w:rFonts w:cs="宋体" w:asciiTheme="majorEastAsia" w:hAnsiTheme="majorEastAsia" w:eastAsiaTheme="majorEastAsia"/>
          <w:color w:val="000000"/>
        </w:rPr>
        <w:t>2、对下列竞买人及其相关联企业谢绝参加：</w:t>
      </w:r>
      <w:r>
        <w:rPr>
          <w:rFonts w:hint="eastAsia" w:cs="宋体" w:asciiTheme="majorEastAsia" w:hAnsiTheme="majorEastAsia" w:eastAsiaTheme="majorEastAsia"/>
          <w:color w:val="000000"/>
        </w:rPr>
        <w:t>①</w:t>
      </w:r>
      <w:r>
        <w:rPr>
          <w:rFonts w:cs="宋体" w:asciiTheme="majorEastAsia" w:hAnsiTheme="majorEastAsia" w:eastAsiaTheme="majorEastAsia"/>
          <w:color w:val="000000"/>
        </w:rPr>
        <w:t>在与委托人上一轮租赁期内或在其他房屋租赁中，存在拖欠房租费、违章建筑、转租、改变租赁用途等违反租赁合同行为拒不改正引起司法纠纷的；</w:t>
      </w:r>
      <w:r>
        <w:rPr>
          <w:rFonts w:hint="eastAsia" w:cs="宋体" w:asciiTheme="majorEastAsia" w:hAnsiTheme="majorEastAsia" w:eastAsiaTheme="majorEastAsia"/>
          <w:color w:val="000000"/>
        </w:rPr>
        <w:t>②</w:t>
      </w:r>
      <w:r>
        <w:rPr>
          <w:rFonts w:cs="宋体" w:asciiTheme="majorEastAsia" w:hAnsiTheme="majorEastAsia" w:eastAsiaTheme="majorEastAsia"/>
          <w:color w:val="000000"/>
        </w:rPr>
        <w:t>竞买人有任何不良诚信记录与重大失信记录；</w:t>
      </w:r>
      <w:r>
        <w:rPr>
          <w:rFonts w:hint="eastAsia" w:cs="宋体" w:asciiTheme="majorEastAsia" w:hAnsiTheme="majorEastAsia" w:eastAsiaTheme="majorEastAsia"/>
          <w:color w:val="000000"/>
        </w:rPr>
        <w:t>③</w:t>
      </w:r>
      <w:r>
        <w:rPr>
          <w:rFonts w:cs="宋体" w:asciiTheme="majorEastAsia" w:hAnsiTheme="majorEastAsia" w:eastAsiaTheme="majorEastAsia"/>
          <w:color w:val="000000"/>
        </w:rPr>
        <w:t>有干扰委托人正常招租，无理取闹行为的；</w:t>
      </w:r>
      <w:r>
        <w:rPr>
          <w:rFonts w:hint="eastAsia" w:cs="宋体" w:asciiTheme="majorEastAsia" w:hAnsiTheme="majorEastAsia" w:eastAsiaTheme="majorEastAsia"/>
          <w:color w:val="000000"/>
        </w:rPr>
        <w:t>④</w:t>
      </w:r>
      <w:r>
        <w:rPr>
          <w:rFonts w:cs="宋体" w:asciiTheme="majorEastAsia" w:hAnsiTheme="majorEastAsia" w:eastAsiaTheme="majorEastAsia"/>
          <w:color w:val="000000"/>
        </w:rPr>
        <w:t>有违法违规开展业务，被相关部门处罚的。</w:t>
      </w:r>
    </w:p>
    <w:p w14:paraId="3ABDB18B">
      <w:pPr>
        <w:pStyle w:val="6"/>
        <w:widowControl/>
        <w:spacing w:beforeAutospacing="0" w:afterAutospacing="0" w:line="500" w:lineRule="exact"/>
        <w:ind w:firstLine="480"/>
        <w:rPr>
          <w:rFonts w:cs="宋体" w:asciiTheme="majorEastAsia" w:hAnsiTheme="majorEastAsia" w:eastAsiaTheme="majorEastAsia"/>
          <w:color w:val="000000"/>
        </w:rPr>
      </w:pPr>
      <w:r>
        <w:rPr>
          <w:rFonts w:cs="宋体" w:asciiTheme="majorEastAsia" w:hAnsiTheme="majorEastAsia" w:eastAsiaTheme="majorEastAsia"/>
          <w:color w:val="000000"/>
        </w:rPr>
        <w:t>3、委托代理：竞买人可以自行参加竞买，也可以委托其代理人参加竞</w:t>
      </w:r>
      <w:r>
        <w:rPr>
          <w:rFonts w:hint="eastAsia" w:cs="宋体" w:asciiTheme="majorEastAsia" w:hAnsiTheme="majorEastAsia" w:eastAsiaTheme="majorEastAsia"/>
          <w:color w:val="000000"/>
        </w:rPr>
        <w:t>租</w:t>
      </w:r>
      <w:r>
        <w:rPr>
          <w:rFonts w:cs="宋体" w:asciiTheme="majorEastAsia" w:hAnsiTheme="majorEastAsia" w:eastAsiaTheme="majorEastAsia"/>
          <w:color w:val="000000"/>
        </w:rPr>
        <w:t>。如需办理授权委托，须在委托标的物的竞</w:t>
      </w:r>
      <w:r>
        <w:rPr>
          <w:rFonts w:hint="eastAsia" w:cs="宋体" w:asciiTheme="majorEastAsia" w:hAnsiTheme="majorEastAsia" w:eastAsiaTheme="majorEastAsia"/>
          <w:color w:val="000000"/>
        </w:rPr>
        <w:t>租</w:t>
      </w:r>
      <w:r>
        <w:rPr>
          <w:rFonts w:cs="宋体" w:asciiTheme="majorEastAsia" w:hAnsiTheme="majorEastAsia" w:eastAsiaTheme="majorEastAsia"/>
          <w:color w:val="000000"/>
        </w:rPr>
        <w:t>结束前一天，委托双方共同携带有效证件及委托书，到</w:t>
      </w:r>
      <w:r>
        <w:rPr>
          <w:rFonts w:hint="eastAsia" w:cs="Arial" w:asciiTheme="minorEastAsia" w:hAnsiTheme="minorEastAsia"/>
          <w:shd w:val="clear" w:color="auto" w:fill="FFFFFF"/>
        </w:rPr>
        <w:t>宁波市镇海产权服务中心有限公司</w:t>
      </w:r>
      <w:r>
        <w:rPr>
          <w:rFonts w:cs="宋体" w:asciiTheme="majorEastAsia" w:hAnsiTheme="majorEastAsia" w:eastAsiaTheme="majorEastAsia"/>
          <w:color w:val="000000"/>
        </w:rPr>
        <w:t>办理委托手续，经确认后方能参加</w:t>
      </w:r>
      <w:r>
        <w:rPr>
          <w:rFonts w:hint="eastAsia" w:cs="宋体" w:asciiTheme="majorEastAsia" w:hAnsiTheme="majorEastAsia" w:eastAsiaTheme="majorEastAsia"/>
          <w:color w:val="000000"/>
        </w:rPr>
        <w:t>现场</w:t>
      </w:r>
      <w:r>
        <w:rPr>
          <w:rFonts w:cs="宋体" w:asciiTheme="majorEastAsia" w:hAnsiTheme="majorEastAsia" w:eastAsiaTheme="majorEastAsia"/>
          <w:color w:val="000000"/>
        </w:rPr>
        <w:t>竞价。如委托手续不全或未办理委托手续的，竞价活动认定为代理人的行为，由其承担一切法律责任。</w:t>
      </w:r>
    </w:p>
    <w:p w14:paraId="245001AB">
      <w:pPr>
        <w:pStyle w:val="6"/>
        <w:widowControl/>
        <w:spacing w:beforeAutospacing="0" w:afterAutospacing="0" w:line="500" w:lineRule="exact"/>
        <w:ind w:firstLine="480"/>
        <w:rPr>
          <w:rFonts w:cs="宋体" w:asciiTheme="majorEastAsia" w:hAnsiTheme="majorEastAsia" w:eastAsiaTheme="majorEastAsia"/>
          <w:color w:val="000000"/>
        </w:rPr>
      </w:pPr>
      <w:r>
        <w:rPr>
          <w:rFonts w:cs="宋体" w:asciiTheme="majorEastAsia" w:hAnsiTheme="majorEastAsia" w:eastAsiaTheme="majorEastAsia"/>
          <w:color w:val="000000"/>
        </w:rPr>
        <w:t>4、竞</w:t>
      </w:r>
      <w:r>
        <w:rPr>
          <w:rFonts w:hint="eastAsia" w:cs="宋体" w:asciiTheme="majorEastAsia" w:hAnsiTheme="majorEastAsia" w:eastAsiaTheme="majorEastAsia"/>
          <w:color w:val="000000"/>
        </w:rPr>
        <w:t>租</w:t>
      </w:r>
      <w:r>
        <w:rPr>
          <w:rFonts w:cs="宋体" w:asciiTheme="majorEastAsia" w:hAnsiTheme="majorEastAsia" w:eastAsiaTheme="majorEastAsia"/>
          <w:color w:val="000000"/>
        </w:rPr>
        <w:t>标的必须在规定的经营范围遵纪守法、合法、规范、文明经营,不得经营易燃易爆危化品等影响周边环境的行业、扰民及违法、违规或违反公序良俗的经营活动。</w:t>
      </w:r>
    </w:p>
    <w:p w14:paraId="323B4EB6">
      <w:pPr>
        <w:pStyle w:val="6"/>
        <w:widowControl/>
        <w:spacing w:beforeAutospacing="0" w:afterAutospacing="0" w:line="500" w:lineRule="exact"/>
        <w:ind w:firstLine="480"/>
        <w:rPr>
          <w:rFonts w:cs="宋体" w:asciiTheme="majorEastAsia" w:hAnsiTheme="majorEastAsia" w:eastAsiaTheme="majorEastAsia"/>
          <w:color w:val="000000"/>
        </w:rPr>
      </w:pPr>
      <w:r>
        <w:rPr>
          <w:rFonts w:cs="宋体" w:asciiTheme="majorEastAsia" w:hAnsiTheme="majorEastAsia" w:eastAsiaTheme="majorEastAsia"/>
          <w:color w:val="000000"/>
        </w:rPr>
        <w:t>5、本次竞价仅按房屋之现状进行竞价，竞买人一经参加，即表示认可标的之现状，并愿意接受标的已知或未知的瑕疵。</w:t>
      </w:r>
    </w:p>
    <w:p w14:paraId="02744055">
      <w:pPr>
        <w:widowControl/>
        <w:shd w:val="clear" w:color="auto" w:fill="FFFFFF"/>
        <w:spacing w:line="500" w:lineRule="exact"/>
        <w:ind w:firstLine="482" w:firstLineChars="200"/>
        <w:jc w:val="left"/>
        <w:rPr>
          <w:rFonts w:cs="宋体" w:asciiTheme="majorEastAsia" w:hAnsiTheme="majorEastAsia" w:eastAsiaTheme="majorEastAsia"/>
          <w:color w:val="000000"/>
          <w:kern w:val="0"/>
          <w:sz w:val="24"/>
        </w:rPr>
      </w:pPr>
      <w:r>
        <w:rPr>
          <w:rFonts w:hint="eastAsia" w:cs="宋体" w:asciiTheme="majorEastAsia" w:hAnsiTheme="majorEastAsia" w:eastAsiaTheme="majorEastAsia"/>
          <w:b/>
          <w:bCs/>
          <w:color w:val="000000"/>
          <w:sz w:val="24"/>
        </w:rPr>
        <w:t>三、展示及勘察：</w:t>
      </w:r>
      <w:r>
        <w:rPr>
          <w:rFonts w:hint="eastAsia" w:cs="宋体" w:asciiTheme="majorEastAsia" w:hAnsiTheme="majorEastAsia" w:eastAsiaTheme="majorEastAsia"/>
          <w:color w:val="000000"/>
          <w:sz w:val="24"/>
        </w:rPr>
        <w:t>即日起至2024年</w:t>
      </w:r>
      <w:r>
        <w:rPr>
          <w:rFonts w:hint="eastAsia" w:cs="宋体" w:asciiTheme="majorEastAsia" w:hAnsiTheme="majorEastAsia" w:eastAsiaTheme="majorEastAsia"/>
          <w:color w:val="000000"/>
          <w:sz w:val="24"/>
          <w:lang w:val="en-US" w:eastAsia="zh-CN"/>
        </w:rPr>
        <w:t>10</w:t>
      </w:r>
      <w:r>
        <w:rPr>
          <w:rFonts w:hint="eastAsia" w:cs="宋体" w:asciiTheme="majorEastAsia" w:hAnsiTheme="majorEastAsia" w:eastAsiaTheme="majorEastAsia"/>
          <w:color w:val="000000"/>
          <w:sz w:val="24"/>
        </w:rPr>
        <w:t>月</w:t>
      </w:r>
      <w:r>
        <w:rPr>
          <w:rFonts w:hint="eastAsia" w:cs="宋体" w:asciiTheme="majorEastAsia" w:hAnsiTheme="majorEastAsia" w:eastAsiaTheme="majorEastAsia"/>
          <w:color w:val="000000"/>
          <w:sz w:val="24"/>
          <w:lang w:val="en-US" w:eastAsia="zh-CN"/>
        </w:rPr>
        <w:t>9</w:t>
      </w:r>
      <w:r>
        <w:rPr>
          <w:rFonts w:hint="eastAsia" w:cs="宋体" w:asciiTheme="majorEastAsia" w:hAnsiTheme="majorEastAsia" w:eastAsiaTheme="majorEastAsia"/>
          <w:color w:val="000000"/>
          <w:sz w:val="24"/>
        </w:rPr>
        <w:t>日</w:t>
      </w:r>
      <w:r>
        <w:rPr>
          <w:rFonts w:cs="宋体" w:asciiTheme="majorEastAsia" w:hAnsiTheme="majorEastAsia" w:eastAsiaTheme="majorEastAsia"/>
          <w:color w:val="000000"/>
          <w:sz w:val="24"/>
        </w:rPr>
        <w:t>16时</w:t>
      </w:r>
      <w:r>
        <w:rPr>
          <w:rFonts w:hint="eastAsia" w:cs="宋体" w:asciiTheme="majorEastAsia" w:hAnsiTheme="majorEastAsia" w:eastAsiaTheme="majorEastAsia"/>
          <w:color w:val="000000"/>
          <w:sz w:val="24"/>
        </w:rPr>
        <w:t>（节假日除外）在标的物所在</w:t>
      </w:r>
      <w:r>
        <w:rPr>
          <w:rFonts w:hint="eastAsia" w:cs="宋体" w:asciiTheme="majorEastAsia" w:hAnsiTheme="majorEastAsia" w:eastAsiaTheme="majorEastAsia"/>
          <w:color w:val="000000"/>
          <w:kern w:val="0"/>
          <w:sz w:val="24"/>
        </w:rPr>
        <w:t>地现场展示，有意向者自行前往实地勘察。有意竞租者须多方位了解该标的的现状及可能存在的瑕疵。</w:t>
      </w:r>
    </w:p>
    <w:p w14:paraId="41B91A2C">
      <w:pPr>
        <w:widowControl/>
        <w:shd w:val="clear" w:color="auto" w:fill="FFFFFF"/>
        <w:spacing w:line="500" w:lineRule="exact"/>
        <w:ind w:firstLine="482" w:firstLineChars="200"/>
        <w:jc w:val="left"/>
        <w:rPr>
          <w:rFonts w:cs="宋体" w:asciiTheme="majorEastAsia" w:hAnsiTheme="majorEastAsia" w:eastAsiaTheme="majorEastAsia"/>
          <w:color w:val="000000"/>
          <w:kern w:val="0"/>
          <w:sz w:val="24"/>
        </w:rPr>
      </w:pPr>
      <w:r>
        <w:rPr>
          <w:rFonts w:hint="eastAsia" w:cs="宋体" w:asciiTheme="majorEastAsia" w:hAnsiTheme="majorEastAsia" w:eastAsiaTheme="majorEastAsia"/>
          <w:b/>
          <w:bCs/>
          <w:color w:val="000000"/>
          <w:kern w:val="0"/>
          <w:sz w:val="24"/>
        </w:rPr>
        <w:t>四、拍卖：</w:t>
      </w:r>
      <w:r>
        <w:rPr>
          <w:rFonts w:cs="宋体" w:asciiTheme="majorEastAsia" w:hAnsiTheme="majorEastAsia" w:eastAsiaTheme="majorEastAsia"/>
          <w:color w:val="000000"/>
          <w:kern w:val="0"/>
          <w:sz w:val="24"/>
        </w:rPr>
        <w:t>有保留价的现场增价拍卖方式，达到保留价即可成交。</w:t>
      </w:r>
    </w:p>
    <w:p w14:paraId="1349AB10">
      <w:pPr>
        <w:widowControl/>
        <w:shd w:val="clear" w:color="auto" w:fill="FFFFFF"/>
        <w:spacing w:line="500" w:lineRule="exact"/>
        <w:ind w:firstLine="480" w:firstLineChars="200"/>
        <w:jc w:val="left"/>
        <w:rPr>
          <w:rFonts w:cs="宋体" w:asciiTheme="majorEastAsia" w:hAnsiTheme="majorEastAsia" w:eastAsiaTheme="majorEastAsia"/>
          <w:color w:val="000000"/>
          <w:kern w:val="0"/>
          <w:sz w:val="24"/>
        </w:rPr>
      </w:pPr>
      <w:r>
        <w:rPr>
          <w:rFonts w:hint="eastAsia" w:cs="宋体" w:asciiTheme="majorEastAsia" w:hAnsiTheme="majorEastAsia" w:eastAsiaTheme="majorEastAsia"/>
          <w:color w:val="000000"/>
          <w:kern w:val="0"/>
          <w:sz w:val="24"/>
        </w:rPr>
        <w:t>委托人有权在拍卖开始前任何时间书面通知拍卖人撤回拍卖标的，竞租人不得因此要求委托人或拍卖人承担任何责任。</w:t>
      </w:r>
    </w:p>
    <w:p w14:paraId="22D19E6D">
      <w:pPr>
        <w:pStyle w:val="6"/>
        <w:widowControl/>
        <w:spacing w:beforeAutospacing="0" w:afterAutospacing="0" w:line="500" w:lineRule="exact"/>
        <w:ind w:firstLine="480"/>
        <w:rPr>
          <w:rFonts w:cs="宋体" w:asciiTheme="majorEastAsia" w:hAnsiTheme="majorEastAsia" w:eastAsiaTheme="majorEastAsia"/>
          <w:b/>
          <w:color w:val="000000"/>
        </w:rPr>
      </w:pPr>
      <w:r>
        <w:rPr>
          <w:rFonts w:hint="eastAsia" w:cs="宋体" w:asciiTheme="majorEastAsia" w:hAnsiTheme="majorEastAsia" w:eastAsiaTheme="majorEastAsia"/>
          <w:b/>
          <w:color w:val="000000"/>
        </w:rPr>
        <w:t>五、成交款、拍卖佣金及成交款付款约定</w:t>
      </w:r>
    </w:p>
    <w:p w14:paraId="65D02DC7">
      <w:pPr>
        <w:keepNext w:val="0"/>
        <w:keepLines w:val="0"/>
        <w:pageBreakBefore w:val="0"/>
        <w:tabs>
          <w:tab w:val="left" w:pos="105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pacing w:val="-4"/>
          <w:sz w:val="24"/>
          <w:szCs w:val="24"/>
        </w:rPr>
      </w:pPr>
      <w:r>
        <w:rPr>
          <w:rFonts w:hint="eastAsia" w:cs="宋体" w:asciiTheme="majorEastAsia" w:hAnsiTheme="majorEastAsia" w:eastAsiaTheme="majorEastAsia"/>
          <w:color w:val="000000"/>
        </w:rPr>
        <w:t>1、</w:t>
      </w:r>
      <w:r>
        <w:rPr>
          <w:rFonts w:hint="eastAsia" w:ascii="宋体" w:hAnsi="宋体" w:eastAsia="宋体" w:cs="宋体"/>
          <w:color w:val="auto"/>
          <w:spacing w:val="-4"/>
          <w:sz w:val="24"/>
          <w:szCs w:val="24"/>
        </w:rPr>
        <w:t>成交价即为年租金，</w:t>
      </w:r>
      <w:r>
        <w:rPr>
          <w:rFonts w:hint="eastAsia" w:ascii="宋体" w:hAnsi="宋体" w:eastAsia="宋体" w:cs="宋体"/>
          <w:b/>
          <w:bCs/>
          <w:color w:val="auto"/>
          <w:spacing w:val="-4"/>
          <w:sz w:val="24"/>
          <w:szCs w:val="24"/>
        </w:rPr>
        <w:t>支付方式为每</w:t>
      </w:r>
      <w:r>
        <w:rPr>
          <w:rFonts w:hint="eastAsia" w:ascii="宋体" w:hAnsi="宋体" w:eastAsia="宋体" w:cs="宋体"/>
          <w:b/>
          <w:bCs/>
          <w:color w:val="auto"/>
          <w:spacing w:val="-4"/>
          <w:sz w:val="24"/>
          <w:szCs w:val="24"/>
          <w:lang w:val="en-US" w:eastAsia="zh-CN"/>
        </w:rPr>
        <w:t>一</w:t>
      </w:r>
      <w:r>
        <w:rPr>
          <w:rFonts w:hint="eastAsia" w:ascii="宋体" w:hAnsi="宋体" w:eastAsia="宋体" w:cs="宋体"/>
          <w:b/>
          <w:bCs/>
          <w:color w:val="auto"/>
          <w:spacing w:val="-4"/>
          <w:sz w:val="24"/>
          <w:szCs w:val="24"/>
        </w:rPr>
        <w:t>年支付一次</w:t>
      </w:r>
      <w:r>
        <w:rPr>
          <w:rFonts w:hint="eastAsia" w:ascii="宋体" w:hAnsi="宋体" w:eastAsia="宋体" w:cs="宋体"/>
          <w:color w:val="auto"/>
          <w:spacing w:val="-4"/>
          <w:sz w:val="24"/>
          <w:szCs w:val="24"/>
        </w:rPr>
        <w:t>，先付后用。买受人须按附后《房屋租赁合同》约定的租金及缴款期限支付租金。但本次租赁权</w:t>
      </w:r>
      <w:r>
        <w:rPr>
          <w:rFonts w:hint="eastAsia" w:ascii="宋体" w:hAnsi="宋体" w:eastAsia="宋体" w:cs="宋体"/>
          <w:color w:val="auto"/>
          <w:spacing w:val="-4"/>
          <w:sz w:val="24"/>
          <w:szCs w:val="24"/>
          <w:lang w:val="en-US" w:eastAsia="zh-CN"/>
        </w:rPr>
        <w:t>竞价</w:t>
      </w:r>
      <w:r>
        <w:rPr>
          <w:rFonts w:hint="eastAsia" w:ascii="宋体" w:hAnsi="宋体" w:eastAsia="宋体" w:cs="宋体"/>
          <w:color w:val="auto"/>
          <w:spacing w:val="-4"/>
          <w:sz w:val="24"/>
          <w:szCs w:val="24"/>
        </w:rPr>
        <w:t>成交后，</w:t>
      </w:r>
      <w:r>
        <w:rPr>
          <w:rFonts w:hint="eastAsia" w:ascii="宋体" w:hAnsi="宋体" w:cs="宋体"/>
          <w:color w:val="auto"/>
          <w:spacing w:val="-4"/>
          <w:sz w:val="24"/>
          <w:szCs w:val="24"/>
          <w:lang w:eastAsia="zh-CN"/>
        </w:rPr>
        <w:t>买受</w:t>
      </w:r>
      <w:r>
        <w:rPr>
          <w:rFonts w:hint="eastAsia" w:ascii="宋体" w:hAnsi="宋体" w:eastAsia="宋体" w:cs="宋体"/>
          <w:color w:val="auto"/>
          <w:spacing w:val="-4"/>
          <w:sz w:val="24"/>
          <w:szCs w:val="24"/>
        </w:rPr>
        <w:t>人必须于成交之日起</w:t>
      </w:r>
      <w:r>
        <w:rPr>
          <w:rFonts w:hint="eastAsia" w:ascii="宋体" w:hAnsi="宋体" w:cs="宋体"/>
          <w:color w:val="auto"/>
          <w:spacing w:val="-4"/>
          <w:sz w:val="24"/>
          <w:szCs w:val="24"/>
          <w:lang w:val="en-US" w:eastAsia="zh-CN"/>
        </w:rPr>
        <w:t>10</w:t>
      </w:r>
      <w:r>
        <w:rPr>
          <w:rFonts w:hint="eastAsia" w:ascii="宋体" w:hAnsi="宋体" w:eastAsia="宋体" w:cs="宋体"/>
          <w:color w:val="auto"/>
          <w:spacing w:val="-4"/>
          <w:sz w:val="24"/>
          <w:szCs w:val="24"/>
        </w:rPr>
        <w:t>日内将首</w:t>
      </w:r>
      <w:r>
        <w:rPr>
          <w:rFonts w:hint="eastAsia" w:ascii="宋体" w:hAnsi="宋体" w:cs="宋体"/>
          <w:color w:val="auto"/>
          <w:spacing w:val="-4"/>
          <w:sz w:val="24"/>
          <w:szCs w:val="24"/>
          <w:lang w:eastAsia="zh-CN"/>
        </w:rPr>
        <w:t>年</w:t>
      </w:r>
      <w:r>
        <w:rPr>
          <w:rFonts w:hint="eastAsia" w:ascii="宋体" w:hAnsi="宋体" w:eastAsia="宋体" w:cs="宋体"/>
          <w:color w:val="auto"/>
          <w:spacing w:val="-4"/>
          <w:sz w:val="24"/>
          <w:szCs w:val="24"/>
        </w:rPr>
        <w:t>租金和</w:t>
      </w:r>
      <w:r>
        <w:rPr>
          <w:rFonts w:hint="eastAsia"/>
          <w:sz w:val="24"/>
        </w:rPr>
        <w:t>履约保证金</w:t>
      </w:r>
      <w:r>
        <w:rPr>
          <w:rFonts w:hint="eastAsia"/>
          <w:sz w:val="24"/>
          <w:lang w:eastAsia="zh-CN"/>
        </w:rPr>
        <w:t>（</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eastAsia="宋体" w:cs="宋体"/>
          <w:b/>
          <w:bCs/>
          <w:color w:val="auto"/>
          <w:kern w:val="0"/>
          <w:sz w:val="24"/>
          <w:szCs w:val="24"/>
          <w:u w:val="single"/>
          <w:lang w:eastAsia="zh-CN"/>
        </w:rPr>
        <w:t>三</w:t>
      </w:r>
      <w:r>
        <w:rPr>
          <w:rFonts w:hint="eastAsia" w:ascii="宋体" w:hAnsi="宋体" w:eastAsia="宋体" w:cs="宋体"/>
          <w:b/>
          <w:bCs/>
          <w:color w:val="auto"/>
          <w:kern w:val="0"/>
          <w:sz w:val="24"/>
          <w:szCs w:val="24"/>
          <w:u w:val="single"/>
        </w:rPr>
        <w:t>个月租金金额，即成交价÷12×3</w:t>
      </w:r>
      <w:r>
        <w:rPr>
          <w:rFonts w:hint="eastAsia"/>
          <w:sz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sz w:val="24"/>
          <w:u w:val="single"/>
          <w:lang w:eastAsia="zh-CN"/>
        </w:rPr>
        <w:t>宁波市镇海区住发物业管理有限公司</w:t>
      </w:r>
      <w:r>
        <w:rPr>
          <w:rFonts w:hint="eastAsia" w:ascii="宋体" w:hAnsi="宋体" w:cs="宋体"/>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开户行：</w:t>
      </w:r>
      <w:r>
        <w:rPr>
          <w:rFonts w:hint="eastAsia" w:ascii="宋体" w:hAnsi="宋体"/>
          <w:sz w:val="24"/>
          <w:u w:val="single"/>
          <w:lang w:eastAsia="zh-CN"/>
        </w:rPr>
        <w:t>中国建设银行股份有限公司宁波镇海支行</w:t>
      </w:r>
      <w:r>
        <w:rPr>
          <w:rFonts w:hint="eastAsia" w:ascii="宋体" w:hAnsi="宋体" w:eastAsia="宋体" w:cs="宋体"/>
          <w:color w:val="auto"/>
          <w:spacing w:val="-4"/>
          <w:sz w:val="24"/>
          <w:szCs w:val="24"/>
          <w:u w:val="single"/>
          <w:lang w:eastAsia="zh-CN"/>
        </w:rPr>
        <w:t>，账号：</w:t>
      </w:r>
      <w:r>
        <w:rPr>
          <w:rFonts w:hint="eastAsia" w:ascii="宋体" w:hAnsi="宋体"/>
          <w:sz w:val="24"/>
          <w:u w:val="single"/>
          <w:lang w:val="en-US" w:eastAsia="zh-CN"/>
        </w:rPr>
        <w:t>33101984037050500686</w:t>
      </w:r>
      <w:r>
        <w:rPr>
          <w:rFonts w:hint="eastAsia" w:ascii="宋体" w:hAnsi="宋体"/>
          <w:sz w:val="24"/>
          <w:u w:val="single"/>
        </w:rPr>
        <w:t xml:space="preserve"> </w:t>
      </w:r>
      <w:r>
        <w:rPr>
          <w:rFonts w:hint="eastAsia" w:ascii="宋体" w:hAnsi="宋体" w:eastAsia="宋体" w:cs="宋体"/>
          <w:color w:val="auto"/>
          <w:spacing w:val="-4"/>
          <w:sz w:val="24"/>
          <w:szCs w:val="24"/>
          <w:u w:val="none"/>
          <w:lang w:eastAsia="zh-CN"/>
        </w:rPr>
        <w:t>；</w:t>
      </w:r>
      <w:r>
        <w:rPr>
          <w:rFonts w:hint="eastAsia" w:ascii="宋体" w:hAnsi="宋体" w:eastAsia="宋体" w:cs="宋体"/>
          <w:color w:val="auto"/>
          <w:spacing w:val="-4"/>
          <w:sz w:val="24"/>
          <w:szCs w:val="24"/>
        </w:rPr>
        <w:t>并根据《成交确认书》与委托人签订房屋租赁合同。</w:t>
      </w:r>
    </w:p>
    <w:p w14:paraId="08182132">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hint="eastAsia" w:cs="宋体" w:asciiTheme="majorEastAsia" w:hAnsiTheme="majorEastAsia" w:eastAsiaTheme="majorEastAsia"/>
          <w:color w:val="000000"/>
        </w:rPr>
        <w:t>2、委托人按税务规定向承租人开具租金发票及押金收款凭证。</w:t>
      </w:r>
    </w:p>
    <w:p w14:paraId="5A728A86">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3、竞价成交后，买受人（承租人）应支付成交价（首年租金）2%的服务费，买受人（承租人）自行支付</w:t>
      </w:r>
      <w:r>
        <w:rPr>
          <w:rFonts w:hint="eastAsia" w:cs="宋体" w:asciiTheme="majorEastAsia" w:hAnsiTheme="majorEastAsia" w:eastAsiaTheme="majorEastAsia"/>
          <w:color w:val="000000"/>
        </w:rPr>
        <w:t>至</w:t>
      </w:r>
      <w:r>
        <w:rPr>
          <w:rFonts w:cs="宋体" w:asciiTheme="majorEastAsia" w:hAnsiTheme="majorEastAsia" w:eastAsiaTheme="majorEastAsia"/>
          <w:color w:val="000000"/>
        </w:rPr>
        <w:t>宁波市镇海产权服务中心有限公司（户名：宁波市镇海产权服务中心有限公司，开户银行：宁波银行股份有限公司镇海支行，账号：5201 0122 0011 50460）。若买受人（承租人）未能及时支付的，</w:t>
      </w:r>
      <w:bookmarkStart w:id="1" w:name="_Hlk176251294"/>
      <w:r>
        <w:rPr>
          <w:rFonts w:hint="eastAsia" w:cs="Arial" w:asciiTheme="minorEastAsia" w:hAnsiTheme="minorEastAsia"/>
          <w:shd w:val="clear" w:color="auto" w:fill="FFFFFF"/>
        </w:rPr>
        <w:t>宁波市镇海区产权服务中心有限公司</w:t>
      </w:r>
      <w:bookmarkEnd w:id="1"/>
      <w:r>
        <w:rPr>
          <w:rFonts w:cs="宋体" w:asciiTheme="majorEastAsia" w:hAnsiTheme="majorEastAsia" w:eastAsiaTheme="majorEastAsia"/>
          <w:color w:val="000000"/>
        </w:rPr>
        <w:t>有权在保证金里优先扣除。</w:t>
      </w:r>
    </w:p>
    <w:p w14:paraId="4A9DFB49">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3、若标的物移交前发生的水、电、物管费等费用超过500元,则上述全部费用由委托人承担,若标的物移交前发生的水、物管费等费用未超过500元(包括500元),则上述全部费用由买受人（承租人）自行承担。</w:t>
      </w:r>
    </w:p>
    <w:p w14:paraId="227393ED">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4、租赁期间牵涉到的水、电、通讯、物业管理费和相关部门管理费用、能耗周转金等一切经营费用以及出租使用期间的日常维修、维护、保养、扩容等一切费用,均由买受人（承租人）承担并自行结算。</w:t>
      </w:r>
    </w:p>
    <w:p w14:paraId="7D8FD718">
      <w:pPr>
        <w:pStyle w:val="6"/>
        <w:widowControl/>
        <w:spacing w:beforeAutospacing="0" w:afterAutospacing="0" w:line="500" w:lineRule="exact"/>
        <w:ind w:firstLine="482" w:firstLineChars="200"/>
        <w:rPr>
          <w:rFonts w:cs="宋体" w:asciiTheme="majorEastAsia" w:hAnsiTheme="majorEastAsia" w:eastAsiaTheme="majorEastAsia"/>
          <w:b/>
          <w:bCs/>
          <w:color w:val="000000"/>
        </w:rPr>
      </w:pPr>
      <w:r>
        <w:rPr>
          <w:rFonts w:hint="eastAsia" w:cs="宋体" w:asciiTheme="majorEastAsia" w:hAnsiTheme="majorEastAsia" w:eastAsiaTheme="majorEastAsia"/>
          <w:b/>
          <w:bCs/>
          <w:color w:val="000000"/>
        </w:rPr>
        <w:t>六、竞租人报名并交纳相关竞租保证金，视为作出如下陈述：</w:t>
      </w:r>
    </w:p>
    <w:p w14:paraId="06C0D3C9">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hint="eastAsia" w:cs="宋体" w:asciiTheme="majorEastAsia" w:hAnsiTheme="majorEastAsia" w:eastAsiaTheme="majorEastAsia"/>
          <w:color w:val="000000"/>
        </w:rPr>
        <w:t>1、竞租人符合本次拍卖会的竞租资格。</w:t>
      </w:r>
    </w:p>
    <w:p w14:paraId="059B9869">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hint="eastAsia" w:cs="宋体" w:asciiTheme="majorEastAsia" w:hAnsiTheme="majorEastAsia" w:eastAsiaTheme="majorEastAsia"/>
          <w:color w:val="000000"/>
        </w:rPr>
        <w:t>2、交易文件知悉。竞租人仔细阅读并理解了拍卖文件、并完全接受上述文件所规定的交易条件，没有任何异议。</w:t>
      </w:r>
    </w:p>
    <w:p w14:paraId="1E1CDD2D">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hint="eastAsia" w:cs="宋体" w:asciiTheme="majorEastAsia" w:hAnsiTheme="majorEastAsia" w:eastAsiaTheme="majorEastAsia"/>
          <w:color w:val="000000"/>
        </w:rPr>
        <w:t>3、风险和瑕疵知悉。拍卖人及委托人已经对拍卖标的的来源、瑕疵和风险进行了充分的提示和披露，竞租人已经对拍卖标的的来源、瑕疵和风险进行了充分尽职调查，完全知悉并接受拍卖标的的所有瑕疵、风险。</w:t>
      </w:r>
    </w:p>
    <w:p w14:paraId="14BC45EF">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hint="eastAsia" w:cs="宋体" w:asciiTheme="majorEastAsia" w:hAnsiTheme="majorEastAsia" w:eastAsiaTheme="majorEastAsia"/>
          <w:color w:val="000000"/>
        </w:rPr>
        <w:t>4、竞租人已被告知并完全理解，本次拍卖标的物的品质、周边相邻等均以现状为准，对标的物的各方面状况，竞租人已自行了解、查验其具体情况，对标的状况，竞租人已自行多方位勘察核对，并对竞买本标的可能存在的投资风险进行充分评估并自愿承担。竞租人知悉，标的物介绍中列明的标的状况仅为委托人根据现有资料对标的已知的状况所作的一般性描述。</w:t>
      </w:r>
    </w:p>
    <w:p w14:paraId="483C5F2B">
      <w:pPr>
        <w:pStyle w:val="6"/>
        <w:widowControl/>
        <w:spacing w:beforeAutospacing="0" w:afterAutospacing="0" w:line="500" w:lineRule="exact"/>
        <w:ind w:firstLine="480" w:firstLineChars="200"/>
        <w:rPr>
          <w:rFonts w:hint="eastAsia" w:cs="宋体" w:asciiTheme="majorEastAsia" w:hAnsiTheme="majorEastAsia" w:eastAsiaTheme="majorEastAsia"/>
          <w:color w:val="000000"/>
        </w:rPr>
      </w:pPr>
      <w:r>
        <w:rPr>
          <w:rFonts w:hint="eastAsia" w:cs="宋体" w:asciiTheme="majorEastAsia" w:hAnsiTheme="majorEastAsia" w:eastAsiaTheme="majorEastAsia"/>
          <w:color w:val="000000"/>
        </w:rPr>
        <w:t>5、本次拍卖会竞租标的的建筑面积、周边相邻等状况均以现状移交为准，对拍卖标的的各方面状况，竞租人须自行了解、查验其具体情况，对标的的坐落、范围、面积、房屋结构、质量等状况须竞租人自行现场勘察核对，并对竞租本标的可能存在的投资、经营风险进行充分评估并自愿承担。拍卖人提供的拍卖标的的相关资料是拍卖人所了解的对拍卖标的历史及现状提供意见性说明的文字及材料，仅供参考，拍卖人不对标的承担瑕疵担保责任。</w:t>
      </w:r>
    </w:p>
    <w:p w14:paraId="3F47C390">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6</w:t>
      </w:r>
      <w:r>
        <w:rPr>
          <w:rFonts w:hint="eastAsia" w:cs="宋体" w:asciiTheme="majorEastAsia" w:hAnsiTheme="majorEastAsia" w:eastAsiaTheme="majorEastAsia"/>
          <w:color w:val="000000"/>
        </w:rPr>
        <w:t>、竞租人一旦进入拍卖现场并出价的，即表示认可拍卖标的的现状，并愿意为自己按照拍卖标的的现状参与竞买的行为承担责任。</w:t>
      </w:r>
    </w:p>
    <w:p w14:paraId="74A4F3D8">
      <w:pPr>
        <w:pStyle w:val="6"/>
        <w:widowControl/>
        <w:spacing w:beforeAutospacing="0" w:afterAutospacing="0" w:line="500" w:lineRule="exact"/>
        <w:ind w:firstLine="482" w:firstLineChars="200"/>
        <w:rPr>
          <w:rFonts w:cs="宋体" w:asciiTheme="majorEastAsia" w:hAnsiTheme="majorEastAsia" w:eastAsiaTheme="majorEastAsia"/>
          <w:b/>
          <w:bCs/>
          <w:color w:val="000000"/>
        </w:rPr>
      </w:pPr>
      <w:r>
        <w:rPr>
          <w:rFonts w:hint="eastAsia" w:cs="宋体" w:asciiTheme="majorEastAsia" w:hAnsiTheme="majorEastAsia" w:eastAsiaTheme="majorEastAsia"/>
          <w:b/>
          <w:bCs/>
          <w:color w:val="000000"/>
        </w:rPr>
        <w:t>七、发生下列情况，可视为承租人违约及违约责任</w:t>
      </w:r>
    </w:p>
    <w:p w14:paraId="124D466C">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hint="eastAsia" w:cs="宋体" w:asciiTheme="majorEastAsia" w:hAnsiTheme="majorEastAsia" w:eastAsiaTheme="majorEastAsia"/>
          <w:color w:val="000000"/>
        </w:rPr>
        <w:t>1、承租人延迟支付租金或其他费用的，对延迟支付的金额，应按同期中国人民银行公布的贷款利率向出租方支付延迟履行违约金。</w:t>
      </w:r>
    </w:p>
    <w:p w14:paraId="093E3709">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2、承租人未征得出租方书面同意或者超出出租方书面同意的范围和要求装修房屋或者增设附属设施的，出租方可以要求承租人恢复房屋原状并赔偿出租方由此遭受的损失。</w:t>
      </w:r>
    </w:p>
    <w:p w14:paraId="6FF766DE">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3</w:t>
      </w:r>
      <w:r>
        <w:rPr>
          <w:rFonts w:hint="eastAsia" w:cs="宋体" w:asciiTheme="majorEastAsia" w:hAnsiTheme="majorEastAsia" w:eastAsiaTheme="majorEastAsia"/>
          <w:color w:val="000000"/>
        </w:rPr>
        <w:t>、具体条款以《房屋租赁合同》为准。</w:t>
      </w:r>
    </w:p>
    <w:p w14:paraId="1D3CDFB3">
      <w:pPr>
        <w:pStyle w:val="6"/>
        <w:widowControl/>
        <w:spacing w:beforeAutospacing="0" w:afterAutospacing="0" w:line="500" w:lineRule="exact"/>
        <w:ind w:firstLine="482" w:firstLineChars="200"/>
        <w:rPr>
          <w:rFonts w:cs="宋体" w:asciiTheme="majorEastAsia" w:hAnsiTheme="majorEastAsia" w:eastAsiaTheme="majorEastAsia"/>
          <w:b/>
          <w:bCs/>
          <w:color w:val="000000"/>
        </w:rPr>
      </w:pPr>
      <w:r>
        <w:rPr>
          <w:rFonts w:cs="宋体" w:asciiTheme="majorEastAsia" w:hAnsiTheme="majorEastAsia" w:eastAsiaTheme="majorEastAsia"/>
          <w:b/>
          <w:bCs/>
          <w:color w:val="000000"/>
        </w:rPr>
        <w:t>八、标的物交割：</w:t>
      </w:r>
    </w:p>
    <w:p w14:paraId="348CA2C2">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1、标的物一般以现状移交（不含标的物内可以移动的物品），标的物的原状为白坯，如现状有装修物的为前租户遗留，但在租标的物的移交也可能出现因原承租人拆除空调、窗帘、灯具、网线等部分设施、设备而造成部分装修及设施遭遇破坏的情况，买受人（承租人）在竞价前应充分考虑潜在的风险。委托人（出租人）不承担本标的任何瑕疵（包括但不限于遗留装修物在内的瑕疵担保）及后期维修。</w:t>
      </w:r>
    </w:p>
    <w:p w14:paraId="13B45658">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2、竞价成交的，在买受人（承租人）付清所有应付款项后标的物由委托人（出租人）直接交付，具体交付时间、交付条件以《房屋租赁合同》约定为准；若买受人（承租人）未能按约定时间履行任一项付款义务的，委托人（出租人）有权拒绝交付。</w:t>
      </w:r>
    </w:p>
    <w:p w14:paraId="784EA873">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3、租赁房屋移交</w:t>
      </w:r>
    </w:p>
    <w:p w14:paraId="3EFE9742">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（1）处于经营状态的标的物由原承租人竞得房屋租赁权的，则自然延续和移交，房屋租赁期限的起始日期为上期租赁期限满的后一天。</w:t>
      </w:r>
    </w:p>
    <w:p w14:paraId="0D389DD1">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（2）处于经营状态的标的物由非原承租人竞得房屋租赁权的，因考虑到原承租人搬迁所需的时间，租赁房屋的移交时间则为房屋租赁期限的起始日期。</w:t>
      </w:r>
    </w:p>
    <w:p w14:paraId="05443929">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 (3)处于空置状态的标的物由委托人（出租人）在收到全部成交价款后10个工作日内腾出房屋，将房屋移交给买受人（承租人），具体移交方式由委托人（出租人）确定。</w:t>
      </w:r>
    </w:p>
    <w:p w14:paraId="71BD2706">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（4）租赁房屋开始计算租金日期即为房屋租赁期限的起始日期，具体移交方式由委托人确定。</w:t>
      </w:r>
    </w:p>
    <w:p w14:paraId="7B1973F9">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4、若涉及房屋原承租人到期尚未清退，具体清退时间委托人（出租人）无法作准确判断，买受人若急需用房的，务必谨慎竞买，委托人（出租人）声明不做任何保证。</w:t>
      </w:r>
    </w:p>
    <w:p w14:paraId="1C8F776A">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5、如因腾空等原因，委托人在2个月内仍无法交付，买受人可以选择继续等待，也可以放弃,如买受人选择放弃的，委托人向买受人退还已收取的租金和押金，不计息。竞价服务费不予返还。</w:t>
      </w:r>
    </w:p>
    <w:p w14:paraId="2475268E">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6、如原承租人拖延搬离时间且委托人通过法律途径收房的，而买受人仍愿意继续等待的，则委托人通过法律途径收回标的后，以买受人留存的联系地址，以邮寄挂号信形式通知（挂号信一经送出，即视为通知已送达）；买受人应在通知到达后3个工作日内来办理租赁手续，一次性付清全部竞价成交款，与委托人签订《房屋租赁合同》，否则买受人无权请求返还首轮租金及履约保证金、竞价保证金且《成交确认书》作废。买受人在委托方收回标的前无权干涉。</w:t>
      </w:r>
    </w:p>
    <w:p w14:paraId="05A6B7BE">
      <w:pPr>
        <w:pStyle w:val="6"/>
        <w:widowControl/>
        <w:spacing w:beforeAutospacing="0" w:afterAutospacing="0" w:line="500" w:lineRule="exact"/>
        <w:ind w:firstLine="482" w:firstLineChars="200"/>
        <w:rPr>
          <w:rFonts w:cs="宋体" w:asciiTheme="majorEastAsia" w:hAnsiTheme="majorEastAsia" w:eastAsiaTheme="majorEastAsia"/>
          <w:b/>
          <w:bCs/>
          <w:color w:val="000000"/>
        </w:rPr>
      </w:pPr>
      <w:r>
        <w:rPr>
          <w:rFonts w:hint="eastAsia" w:cs="宋体" w:asciiTheme="majorEastAsia" w:hAnsiTheme="majorEastAsia" w:eastAsiaTheme="majorEastAsia"/>
          <w:b/>
          <w:bCs/>
          <w:color w:val="000000"/>
        </w:rPr>
        <w:t>九、标的特别说明：</w:t>
      </w:r>
    </w:p>
    <w:p w14:paraId="3D15CA6E">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1、竞</w:t>
      </w:r>
      <w:r>
        <w:rPr>
          <w:rFonts w:hint="eastAsia" w:cs="宋体" w:asciiTheme="majorEastAsia" w:hAnsiTheme="majorEastAsia" w:eastAsiaTheme="majorEastAsia"/>
          <w:color w:val="000000"/>
        </w:rPr>
        <w:t>租</w:t>
      </w:r>
      <w:r>
        <w:rPr>
          <w:rFonts w:cs="宋体" w:asciiTheme="majorEastAsia" w:hAnsiTheme="majorEastAsia" w:eastAsiaTheme="majorEastAsia"/>
          <w:color w:val="000000"/>
        </w:rPr>
        <w:t>人报名参与竞价,即表明同意附件《房屋租赁合同》所有条款，并已完全知晓标的物权属、权利性质、用途等相关问题,委托人（出租人）及本公司不对标的物的用途做任何保证，若因标的物权属、权利性质、用途等相关问题导致买受人无法办理经营证照或产生其他纠纷的,由竞</w:t>
      </w:r>
      <w:r>
        <w:rPr>
          <w:rFonts w:hint="eastAsia" w:cs="宋体" w:asciiTheme="majorEastAsia" w:hAnsiTheme="majorEastAsia" w:eastAsiaTheme="majorEastAsia"/>
          <w:color w:val="000000"/>
        </w:rPr>
        <w:t>租</w:t>
      </w:r>
      <w:r>
        <w:rPr>
          <w:rFonts w:cs="宋体" w:asciiTheme="majorEastAsia" w:hAnsiTheme="majorEastAsia" w:eastAsiaTheme="majorEastAsia"/>
          <w:color w:val="000000"/>
        </w:rPr>
        <w:t>人自行承担风险,并不影响竞价成交结果,也不作为解除出租合同的理由。</w:t>
      </w:r>
    </w:p>
    <w:p w14:paraId="7EFA0E5A">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2、如需对租赁房屋进行装修或增扩设备时，按规定报消防、城管、房管等相关部门审批同意方可装修，装修方案需报委托人审批同意，装修费用和责任均由承租人承担。租赁关系结束或解除时，委托人（出租人）若要求恢复原样的，承租人必须恢复。经委托人验收认可，方可结清相关费用（履约保证金）。</w:t>
      </w:r>
    </w:p>
    <w:p w14:paraId="0E651511">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3、由于历史原因，标的物地址或门牌与证载会有差异，以实际展示为准。</w:t>
      </w:r>
    </w:p>
    <w:p w14:paraId="593DBED3">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4、买受人(承租人)必须在规定的经营范围遵纪守法、合法、规范、文明经营,不得经营易燃易爆危化品等影响周边环境的行业、扰民及违法、违规或违反公序良俗的经营活动。若买受人(承租人)违法经或超出经营范围经营的,则应由买受人(承租人)自行承担责任,与委托人(出租人)无关,同时委托人(出租人)有权立即终止《房屋租赁合同》,收回原出租的房屋,由此造成的一切责任和经济赔偿均由买受人(承租人)承担。</w:t>
      </w:r>
    </w:p>
    <w:p w14:paraId="64AF018C">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5、租赁期间的物业费、水电费等一切费用均由买受人（承租人）承担，若涉及水、电、气、通讯、数字电视等安装及增扩容均由承租人自理。</w:t>
      </w:r>
    </w:p>
    <w:p w14:paraId="2DB07CAA">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6、竞</w:t>
      </w:r>
      <w:r>
        <w:rPr>
          <w:rFonts w:hint="eastAsia" w:cs="宋体" w:asciiTheme="majorEastAsia" w:hAnsiTheme="majorEastAsia" w:eastAsiaTheme="majorEastAsia"/>
          <w:color w:val="000000"/>
        </w:rPr>
        <w:t>租</w:t>
      </w:r>
      <w:r>
        <w:rPr>
          <w:rFonts w:cs="宋体" w:asciiTheme="majorEastAsia" w:hAnsiTheme="majorEastAsia" w:eastAsiaTheme="majorEastAsia"/>
          <w:color w:val="000000"/>
        </w:rPr>
        <w:t>人在竞</w:t>
      </w:r>
      <w:r>
        <w:rPr>
          <w:rFonts w:hint="eastAsia" w:cs="宋体" w:asciiTheme="majorEastAsia" w:hAnsiTheme="majorEastAsia" w:eastAsiaTheme="majorEastAsia"/>
          <w:color w:val="000000"/>
        </w:rPr>
        <w:t>租</w:t>
      </w:r>
      <w:r>
        <w:rPr>
          <w:rFonts w:cs="宋体" w:asciiTheme="majorEastAsia" w:hAnsiTheme="majorEastAsia" w:eastAsiaTheme="majorEastAsia"/>
          <w:color w:val="000000"/>
        </w:rPr>
        <w:t>公告规定的展示时间内有权查验竞价标的物，查阅有关竞价资料，竞</w:t>
      </w:r>
      <w:r>
        <w:rPr>
          <w:rFonts w:hint="eastAsia" w:cs="宋体" w:asciiTheme="majorEastAsia" w:hAnsiTheme="majorEastAsia" w:eastAsiaTheme="majorEastAsia"/>
          <w:color w:val="000000"/>
        </w:rPr>
        <w:t>租</w:t>
      </w:r>
      <w:r>
        <w:rPr>
          <w:rFonts w:cs="宋体" w:asciiTheme="majorEastAsia" w:hAnsiTheme="majorEastAsia" w:eastAsiaTheme="majorEastAsia"/>
          <w:color w:val="000000"/>
        </w:rPr>
        <w:t>人一经参加，即视为已认可竞价标的的现状；提供的拍租房屋面积仅供竞</w:t>
      </w:r>
      <w:r>
        <w:rPr>
          <w:rFonts w:hint="eastAsia" w:cs="宋体" w:asciiTheme="majorEastAsia" w:hAnsiTheme="majorEastAsia" w:eastAsiaTheme="majorEastAsia"/>
          <w:color w:val="000000"/>
        </w:rPr>
        <w:t>租</w:t>
      </w:r>
      <w:r>
        <w:rPr>
          <w:rFonts w:cs="宋体" w:asciiTheme="majorEastAsia" w:hAnsiTheme="majorEastAsia" w:eastAsiaTheme="majorEastAsia"/>
          <w:color w:val="000000"/>
        </w:rPr>
        <w:t>人参考，如有实际有出入，以实际面积为准，成交款（租金）不作退补。</w:t>
      </w:r>
    </w:p>
    <w:p w14:paraId="47874DAB">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7、标的物的消防手续办理以及日常消防操作由买受人（承租人）负责。</w:t>
      </w:r>
    </w:p>
    <w:p w14:paraId="1AD7254F">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8、委托人（出租人）若须对标的物进行出售的，承租人无权干涉。</w:t>
      </w:r>
    </w:p>
    <w:p w14:paraId="248B0BA2">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9、竞价标的所作的说明和提供的视频资料、图片等，仅供竞</w:t>
      </w:r>
      <w:r>
        <w:rPr>
          <w:rFonts w:hint="eastAsia" w:cs="宋体" w:asciiTheme="majorEastAsia" w:hAnsiTheme="majorEastAsia" w:eastAsiaTheme="majorEastAsia"/>
          <w:color w:val="000000"/>
        </w:rPr>
        <w:t>租</w:t>
      </w:r>
      <w:r>
        <w:rPr>
          <w:rFonts w:cs="宋体" w:asciiTheme="majorEastAsia" w:hAnsiTheme="majorEastAsia" w:eastAsiaTheme="majorEastAsia"/>
          <w:color w:val="000000"/>
        </w:rPr>
        <w:t>人参考，不构成对标的的任何担保。竞</w:t>
      </w:r>
      <w:r>
        <w:rPr>
          <w:rFonts w:hint="eastAsia" w:cs="宋体" w:asciiTheme="majorEastAsia" w:hAnsiTheme="majorEastAsia" w:eastAsiaTheme="majorEastAsia"/>
          <w:color w:val="000000"/>
        </w:rPr>
        <w:t>租</w:t>
      </w:r>
      <w:r>
        <w:rPr>
          <w:rFonts w:cs="宋体" w:asciiTheme="majorEastAsia" w:hAnsiTheme="majorEastAsia" w:eastAsiaTheme="majorEastAsia"/>
          <w:color w:val="000000"/>
        </w:rPr>
        <w:t>人一旦作出竞买决定，即表明已完全了解，并接受竞价标的的现状和一切已知及未知的瑕疵。竞买人自行承担所有责任，产权人与本公司不负责承担以上责任。</w:t>
      </w:r>
    </w:p>
    <w:p w14:paraId="354C4E47">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cs="宋体" w:asciiTheme="majorEastAsia" w:hAnsiTheme="majorEastAsia" w:eastAsiaTheme="majorEastAsia"/>
          <w:color w:val="000000"/>
        </w:rPr>
        <w:t>10</w:t>
      </w:r>
      <w:r>
        <w:rPr>
          <w:rFonts w:hint="eastAsia" w:cs="宋体" w:asciiTheme="majorEastAsia" w:hAnsiTheme="majorEastAsia" w:eastAsiaTheme="majorEastAsia"/>
          <w:color w:val="000000"/>
        </w:rPr>
        <w:t>、房产内装修及可移动物品不在本次拍卖范围之内。</w:t>
      </w:r>
    </w:p>
    <w:p w14:paraId="771D2424">
      <w:pPr>
        <w:pStyle w:val="6"/>
        <w:widowControl/>
        <w:spacing w:beforeAutospacing="0" w:afterAutospacing="0" w:line="500" w:lineRule="exact"/>
        <w:ind w:firstLine="480" w:firstLineChars="200"/>
        <w:rPr>
          <w:rFonts w:cs="宋体" w:asciiTheme="majorEastAsia" w:hAnsiTheme="majorEastAsia" w:eastAsiaTheme="majorEastAsia"/>
          <w:color w:val="000000"/>
        </w:rPr>
      </w:pPr>
      <w:r>
        <w:rPr>
          <w:rFonts w:hint="eastAsia" w:cs="宋体" w:asciiTheme="majorEastAsia" w:hAnsiTheme="majorEastAsia" w:eastAsiaTheme="majorEastAsia"/>
          <w:color w:val="000000"/>
        </w:rPr>
        <w:t>十、本须知的内容请竞租人务必认真阅读，有任何疑义请立即向拍卖人咨询，竞租人一旦参与拍卖即被认为知悉并愿意遵守和履行本须知的各项条款与内容。拍卖人有权根据实际情况对拍卖材料进行修正或补充，拍卖人可在拍卖活动举行之前通知竞租人。竞租人应价，将被视为已经知悉并接受认可该修正或补充。本竞买须知及修正与补充均作为《成交确认书》的附件，具有法律效力。</w:t>
      </w:r>
    </w:p>
    <w:p w14:paraId="46D6EDD2">
      <w:pPr>
        <w:spacing w:before="50" w:after="50" w:line="48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w:t>
      </w:r>
    </w:p>
    <w:p w14:paraId="425C8FC4">
      <w:pPr>
        <w:widowControl/>
        <w:spacing w:line="460" w:lineRule="exact"/>
        <w:ind w:firstLine="480"/>
        <w:jc w:val="both"/>
        <w:rPr>
          <w:rFonts w:cs="Arial" w:asciiTheme="minorEastAsia" w:hAnsiTheme="minorEastAsia"/>
          <w:kern w:val="0"/>
          <w:sz w:val="24"/>
          <w:shd w:val="clear" w:color="auto" w:fill="FFFFFF"/>
        </w:rPr>
      </w:pPr>
    </w:p>
    <w:p w14:paraId="0C33EF88">
      <w:pPr>
        <w:widowControl/>
        <w:spacing w:line="460" w:lineRule="exact"/>
        <w:ind w:firstLine="480"/>
        <w:jc w:val="right"/>
        <w:rPr>
          <w:rFonts w:cs="Arial" w:asciiTheme="minorEastAsia" w:hAnsiTheme="minorEastAsia"/>
          <w:kern w:val="0"/>
          <w:sz w:val="24"/>
          <w:shd w:val="clear" w:color="auto" w:fill="FFFFFF"/>
        </w:rPr>
      </w:pPr>
      <w:r>
        <w:rPr>
          <w:rFonts w:hint="eastAsia" w:cs="Arial" w:asciiTheme="minorEastAsia" w:hAnsiTheme="minorEastAsia"/>
          <w:kern w:val="0"/>
          <w:sz w:val="24"/>
          <w:shd w:val="clear" w:color="auto" w:fill="FFFFFF"/>
        </w:rPr>
        <w:t>宁波市镇海产权服务中心有限公司</w:t>
      </w:r>
    </w:p>
    <w:p w14:paraId="59105A60">
      <w:pPr>
        <w:widowControl/>
        <w:spacing w:line="460" w:lineRule="exact"/>
        <w:ind w:firstLine="480"/>
        <w:jc w:val="right"/>
        <w:rPr>
          <w:rFonts w:cs="Arial" w:asciiTheme="minorEastAsia" w:hAnsiTheme="minorEastAsia"/>
          <w:kern w:val="0"/>
          <w:sz w:val="24"/>
          <w:shd w:val="clear" w:color="auto" w:fill="FFFFFF"/>
        </w:rPr>
      </w:pPr>
      <w:r>
        <w:rPr>
          <w:rFonts w:hint="eastAsia" w:cs="Arial" w:asciiTheme="minorEastAsia" w:hAnsiTheme="minorEastAsia"/>
          <w:kern w:val="0"/>
          <w:sz w:val="24"/>
          <w:shd w:val="clear" w:color="auto" w:fill="FFFFFF"/>
        </w:rPr>
        <w:t>浙江华夏拍卖有限公司</w:t>
      </w:r>
    </w:p>
    <w:p w14:paraId="0014D339">
      <w:pPr>
        <w:widowControl/>
        <w:spacing w:line="460" w:lineRule="exact"/>
        <w:ind w:firstLine="480"/>
        <w:jc w:val="right"/>
        <w:rPr>
          <w:rFonts w:cs="Arial" w:asciiTheme="minorEastAsia" w:hAnsiTheme="minorEastAsia"/>
          <w:kern w:val="0"/>
          <w:sz w:val="24"/>
          <w:shd w:val="clear" w:color="auto" w:fill="FFFFFF"/>
        </w:rPr>
      </w:pPr>
      <w:r>
        <w:rPr>
          <w:rFonts w:hint="eastAsia" w:cs="Arial" w:asciiTheme="minorEastAsia" w:hAnsiTheme="minorEastAsia"/>
          <w:kern w:val="0"/>
          <w:sz w:val="24"/>
          <w:shd w:val="clear" w:color="auto" w:fill="FFFFFF"/>
        </w:rPr>
        <w:t>2024年 9 月</w:t>
      </w:r>
      <w:r>
        <w:rPr>
          <w:rFonts w:hint="eastAsia" w:cs="Arial" w:asciiTheme="minorEastAsia" w:hAnsiTheme="minorEastAsia"/>
          <w:kern w:val="0"/>
          <w:sz w:val="24"/>
          <w:shd w:val="clear" w:color="auto" w:fill="FFFFFF"/>
          <w:lang w:val="en-US" w:eastAsia="zh-CN"/>
        </w:rPr>
        <w:t>10</w:t>
      </w:r>
      <w:r>
        <w:rPr>
          <w:rFonts w:hint="eastAsia" w:cs="Arial" w:asciiTheme="minorEastAsia" w:hAnsiTheme="minorEastAsia"/>
          <w:kern w:val="0"/>
          <w:sz w:val="24"/>
          <w:shd w:val="clear" w:color="auto" w:fill="FFFFFF"/>
        </w:rPr>
        <w:t>日</w:t>
      </w:r>
    </w:p>
    <w:p w14:paraId="47F428B1">
      <w:pPr>
        <w:pStyle w:val="6"/>
        <w:widowControl/>
        <w:shd w:val="clear" w:color="auto" w:fill="FFFFFF"/>
        <w:wordWrap w:val="0"/>
        <w:spacing w:beforeAutospacing="0" w:afterAutospacing="0" w:line="600" w:lineRule="exact"/>
        <w:jc w:val="right"/>
        <w:rPr>
          <w:rFonts w:cs="Arial" w:asciiTheme="minorEastAsia" w:hAnsiTheme="minorEastAsia"/>
          <w:sz w:val="18"/>
          <w:szCs w:val="18"/>
        </w:rPr>
      </w:pPr>
      <w:r>
        <w:rPr>
          <w:rFonts w:hint="eastAsia" w:cs="宋体" w:asciiTheme="minorEastAsia" w:hAnsiTheme="minorEastAsia"/>
        </w:rPr>
        <w:t xml:space="preserve"> </w:t>
      </w:r>
    </w:p>
    <w:p w14:paraId="0167B713">
      <w:pPr>
        <w:pStyle w:val="6"/>
        <w:widowControl/>
        <w:spacing w:beforeAutospacing="0" w:afterAutospacing="0" w:line="500" w:lineRule="exact"/>
        <w:ind w:firstLine="480"/>
        <w:rPr>
          <w:rFonts w:cs="宋体" w:asciiTheme="majorEastAsia" w:hAnsiTheme="majorEastAsia" w:eastAsiaTheme="majorEastAsia"/>
          <w:color w:val="000000"/>
        </w:rPr>
      </w:pPr>
    </w:p>
    <w:p w14:paraId="17F354F9">
      <w:pPr>
        <w:pStyle w:val="6"/>
        <w:widowControl/>
        <w:spacing w:beforeAutospacing="0" w:afterAutospacing="0" w:line="500" w:lineRule="exact"/>
        <w:ind w:firstLine="480"/>
        <w:rPr>
          <w:rFonts w:cs="宋体" w:asciiTheme="majorEastAsia" w:hAnsiTheme="majorEastAsia" w:eastAsiaTheme="majorEastAsia"/>
          <w:color w:val="000000"/>
        </w:rPr>
      </w:pPr>
    </w:p>
    <w:p w14:paraId="0EA6A2F3">
      <w:pPr>
        <w:pStyle w:val="6"/>
        <w:widowControl/>
        <w:spacing w:beforeAutospacing="0" w:afterAutospacing="0" w:line="500" w:lineRule="exact"/>
        <w:ind w:firstLine="480"/>
        <w:rPr>
          <w:rFonts w:cs="宋体" w:asciiTheme="majorEastAsia" w:hAnsiTheme="majorEastAsia" w:eastAsiaTheme="majorEastAsia"/>
          <w:color w:val="000000"/>
        </w:rPr>
      </w:pPr>
    </w:p>
    <w:p w14:paraId="734A3F64">
      <w:pPr>
        <w:pStyle w:val="6"/>
        <w:widowControl/>
        <w:spacing w:beforeAutospacing="0" w:afterAutospacing="0" w:line="500" w:lineRule="exact"/>
        <w:ind w:firstLine="480"/>
        <w:rPr>
          <w:rFonts w:hint="eastAsia" w:cs="宋体" w:asciiTheme="majorEastAsia" w:hAnsiTheme="majorEastAsia" w:eastAsiaTheme="majorEastAsia"/>
          <w:color w:val="000000"/>
          <w:lang w:eastAsia="zh-CN"/>
        </w:rPr>
      </w:pPr>
    </w:p>
    <w:p w14:paraId="78D7F0C7">
      <w:pPr>
        <w:pStyle w:val="6"/>
        <w:widowControl/>
        <w:spacing w:beforeAutospacing="0" w:afterAutospacing="0" w:line="500" w:lineRule="exact"/>
        <w:ind w:firstLine="480"/>
        <w:rPr>
          <w:rFonts w:hint="eastAsia" w:cs="宋体" w:asciiTheme="majorEastAsia" w:hAnsiTheme="majorEastAsia" w:eastAsiaTheme="majorEastAsia"/>
          <w:color w:val="000000"/>
          <w:lang w:eastAsia="zh-CN"/>
        </w:rPr>
      </w:pPr>
    </w:p>
    <w:p w14:paraId="21D22034">
      <w:pPr>
        <w:pStyle w:val="6"/>
        <w:widowControl/>
        <w:spacing w:beforeAutospacing="0" w:afterAutospacing="0" w:line="500" w:lineRule="exact"/>
        <w:ind w:firstLine="480"/>
        <w:rPr>
          <w:rFonts w:hint="eastAsia" w:cs="宋体" w:asciiTheme="majorEastAsia" w:hAnsiTheme="majorEastAsia" w:eastAsiaTheme="majorEastAsia"/>
          <w:color w:val="000000"/>
          <w:lang w:eastAsia="zh-CN"/>
        </w:rPr>
      </w:pPr>
    </w:p>
    <w:p w14:paraId="3257FAC4">
      <w:pPr>
        <w:pStyle w:val="6"/>
        <w:widowControl/>
        <w:spacing w:beforeAutospacing="0" w:afterAutospacing="0" w:line="500" w:lineRule="exact"/>
        <w:ind w:firstLine="480"/>
        <w:rPr>
          <w:rFonts w:hint="eastAsia" w:cs="宋体" w:asciiTheme="majorEastAsia" w:hAnsiTheme="majorEastAsia" w:eastAsiaTheme="majorEastAsia"/>
          <w:color w:val="000000"/>
          <w:lang w:eastAsia="zh-CN"/>
        </w:rPr>
      </w:pPr>
    </w:p>
    <w:p w14:paraId="53B60371">
      <w:pPr>
        <w:pStyle w:val="6"/>
        <w:widowControl/>
        <w:spacing w:beforeAutospacing="0" w:afterAutospacing="0" w:line="500" w:lineRule="exact"/>
        <w:ind w:firstLine="480"/>
        <w:rPr>
          <w:rFonts w:hint="eastAsia" w:cs="宋体" w:asciiTheme="majorEastAsia" w:hAnsiTheme="majorEastAsia" w:eastAsiaTheme="majorEastAsia"/>
          <w:color w:val="000000"/>
          <w:lang w:eastAsia="zh-CN"/>
        </w:rPr>
      </w:pPr>
    </w:p>
    <w:p w14:paraId="774983EE">
      <w:pPr>
        <w:pStyle w:val="6"/>
        <w:widowControl/>
        <w:spacing w:beforeAutospacing="0" w:afterAutospacing="0" w:line="500" w:lineRule="exact"/>
        <w:ind w:firstLine="480"/>
        <w:rPr>
          <w:rFonts w:hint="eastAsia" w:cs="宋体" w:asciiTheme="majorEastAsia" w:hAnsiTheme="majorEastAsia" w:eastAsiaTheme="majorEastAsia"/>
          <w:color w:val="000000"/>
          <w:lang w:eastAsia="zh-CN"/>
        </w:rPr>
      </w:pPr>
    </w:p>
    <w:p w14:paraId="365B4529">
      <w:pPr>
        <w:pStyle w:val="6"/>
        <w:widowControl/>
        <w:spacing w:beforeAutospacing="0" w:afterAutospacing="0" w:line="500" w:lineRule="exact"/>
        <w:ind w:firstLine="480"/>
        <w:rPr>
          <w:rFonts w:hint="eastAsia" w:cs="宋体" w:asciiTheme="majorEastAsia" w:hAnsiTheme="majorEastAsia" w:eastAsiaTheme="majorEastAsia"/>
          <w:color w:val="000000"/>
          <w:lang w:eastAsia="zh-CN"/>
        </w:rPr>
      </w:pPr>
    </w:p>
    <w:p w14:paraId="2EECBCD5">
      <w:pPr>
        <w:pStyle w:val="6"/>
        <w:widowControl/>
        <w:spacing w:beforeAutospacing="0" w:afterAutospacing="0" w:line="500" w:lineRule="exact"/>
        <w:ind w:firstLine="480"/>
        <w:rPr>
          <w:rFonts w:hint="eastAsia" w:cs="宋体" w:asciiTheme="majorEastAsia" w:hAnsiTheme="majorEastAsia" w:eastAsiaTheme="majorEastAsia"/>
          <w:color w:val="000000"/>
          <w:lang w:eastAsia="zh-CN"/>
        </w:rPr>
      </w:pPr>
    </w:p>
    <w:p w14:paraId="01679F6E">
      <w:pPr>
        <w:jc w:val="center"/>
        <w:rPr>
          <w:sz w:val="48"/>
          <w:szCs w:val="48"/>
        </w:rPr>
      </w:pPr>
      <w:r>
        <w:rPr>
          <w:rFonts w:hint="eastAsia"/>
          <w:sz w:val="48"/>
          <w:szCs w:val="48"/>
        </w:rPr>
        <w:t>房屋土地租赁合同</w:t>
      </w:r>
    </w:p>
    <w:p w14:paraId="4A1CACD5">
      <w:pPr>
        <w:jc w:val="center"/>
      </w:pPr>
      <w:r>
        <w:t xml:space="preserve">                                                    </w:t>
      </w:r>
      <w:r>
        <w:rPr>
          <w:rFonts w:hint="eastAsia"/>
        </w:rPr>
        <w:t>合同编号：</w:t>
      </w:r>
    </w:p>
    <w:p w14:paraId="0053E08A">
      <w:pPr>
        <w:spacing w:line="360" w:lineRule="auto"/>
        <w:rPr>
          <w:sz w:val="28"/>
          <w:szCs w:val="28"/>
        </w:rPr>
      </w:pPr>
      <w:r>
        <w:rPr>
          <w:rFonts w:hint="eastAsia"/>
          <w:sz w:val="28"/>
          <w:szCs w:val="28"/>
        </w:rPr>
        <w:t>出租方</w:t>
      </w:r>
      <w:r>
        <w:rPr>
          <w:sz w:val="28"/>
          <w:szCs w:val="28"/>
        </w:rPr>
        <w:t>(</w:t>
      </w:r>
      <w:r>
        <w:rPr>
          <w:rFonts w:hint="eastAsia"/>
          <w:sz w:val="28"/>
          <w:szCs w:val="28"/>
        </w:rPr>
        <w:t>甲方</w:t>
      </w:r>
      <w:r>
        <w:rPr>
          <w:sz w:val="28"/>
          <w:szCs w:val="28"/>
        </w:rPr>
        <w:t>)</w:t>
      </w:r>
      <w:r>
        <w:rPr>
          <w:rFonts w:hint="eastAsia"/>
          <w:sz w:val="28"/>
          <w:szCs w:val="28"/>
        </w:rPr>
        <w:t>：</w:t>
      </w:r>
      <w:r>
        <w:rPr>
          <w:sz w:val="28"/>
          <w:szCs w:val="28"/>
          <w:u w:val="single"/>
        </w:rPr>
        <w:t xml:space="preserve"> </w:t>
      </w:r>
      <w:r>
        <w:rPr>
          <w:rFonts w:hint="eastAsia"/>
          <w:sz w:val="28"/>
          <w:szCs w:val="28"/>
          <w:u w:val="single"/>
          <w:lang w:eastAsia="zh-CN"/>
        </w:rPr>
        <w:t>宁波市镇海区住发物业管理有限公司</w:t>
      </w:r>
      <w:r>
        <w:rPr>
          <w:sz w:val="28"/>
          <w:szCs w:val="28"/>
          <w:u w:val="single"/>
        </w:rPr>
        <w:t xml:space="preserve">                          </w:t>
      </w:r>
    </w:p>
    <w:p w14:paraId="15B5D23A">
      <w:pPr>
        <w:spacing w:line="360" w:lineRule="auto"/>
        <w:rPr>
          <w:sz w:val="28"/>
          <w:szCs w:val="28"/>
        </w:rPr>
      </w:pPr>
      <w:r>
        <w:rPr>
          <w:rFonts w:hint="eastAsia"/>
          <w:sz w:val="28"/>
          <w:szCs w:val="28"/>
        </w:rPr>
        <w:t>承租方</w:t>
      </w:r>
      <w:r>
        <w:rPr>
          <w:sz w:val="28"/>
          <w:szCs w:val="28"/>
        </w:rPr>
        <w:t>(</w:t>
      </w:r>
      <w:r>
        <w:rPr>
          <w:rFonts w:hint="eastAsia"/>
          <w:sz w:val="28"/>
          <w:szCs w:val="28"/>
        </w:rPr>
        <w:t>乙方</w:t>
      </w:r>
      <w:r>
        <w:rPr>
          <w:sz w:val="28"/>
          <w:szCs w:val="28"/>
        </w:rPr>
        <w:t>)</w:t>
      </w:r>
      <w:r>
        <w:rPr>
          <w:rFonts w:hint="eastAsia"/>
          <w:sz w:val="28"/>
          <w:szCs w:val="28"/>
        </w:rPr>
        <w:t>：</w:t>
      </w:r>
      <w:r>
        <w:rPr>
          <w:sz w:val="28"/>
          <w:szCs w:val="28"/>
          <w:u w:val="single"/>
        </w:rPr>
        <w:t xml:space="preserve">                                                </w:t>
      </w:r>
    </w:p>
    <w:p w14:paraId="2154E1A8">
      <w:pPr>
        <w:spacing w:line="360" w:lineRule="auto"/>
        <w:ind w:firstLine="560" w:firstLineChars="200"/>
        <w:rPr>
          <w:sz w:val="28"/>
          <w:szCs w:val="28"/>
        </w:rPr>
      </w:pPr>
      <w:r>
        <w:rPr>
          <w:rFonts w:hint="eastAsia"/>
          <w:sz w:val="28"/>
          <w:szCs w:val="28"/>
        </w:rPr>
        <w:t>根据《中华人民共和国民法典》，为保障甲、乙双方合法权益，经协商一致，双方就下列租赁事项达成一致意见，签订本合同。</w:t>
      </w:r>
    </w:p>
    <w:p w14:paraId="6F964D7F">
      <w:pPr>
        <w:spacing w:line="360" w:lineRule="auto"/>
        <w:rPr>
          <w:b/>
          <w:sz w:val="28"/>
          <w:szCs w:val="28"/>
        </w:rPr>
      </w:pPr>
      <w:r>
        <w:rPr>
          <w:rFonts w:hint="eastAsia"/>
          <w:b/>
          <w:sz w:val="28"/>
          <w:szCs w:val="28"/>
        </w:rPr>
        <w:t>第一条、租赁标的物情况</w:t>
      </w:r>
    </w:p>
    <w:p w14:paraId="1DDEF2D2">
      <w:pPr>
        <w:spacing w:line="360" w:lineRule="auto"/>
        <w:ind w:firstLine="420" w:firstLineChars="150"/>
        <w:rPr>
          <w:sz w:val="28"/>
          <w:szCs w:val="28"/>
        </w:rPr>
      </w:pPr>
      <w:r>
        <w:rPr>
          <w:sz w:val="28"/>
          <w:szCs w:val="28"/>
        </w:rPr>
        <w:t>1</w:t>
      </w:r>
      <w:r>
        <w:rPr>
          <w:rFonts w:hint="eastAsia"/>
          <w:sz w:val="28"/>
          <w:szCs w:val="28"/>
        </w:rPr>
        <w:t>、出租标的物地址</w:t>
      </w:r>
      <w:r>
        <w:rPr>
          <w:sz w:val="28"/>
          <w:szCs w:val="28"/>
        </w:rPr>
        <w:t>:</w:t>
      </w:r>
      <w:r>
        <w:rPr>
          <w:rFonts w:hint="eastAsia"/>
          <w:sz w:val="28"/>
          <w:szCs w:val="28"/>
        </w:rPr>
        <w:t>甲方将位于</w:t>
      </w:r>
      <w:r>
        <w:rPr>
          <w:sz w:val="28"/>
          <w:szCs w:val="28"/>
          <w:u w:val="single"/>
        </w:rPr>
        <w:t xml:space="preserve"> </w:t>
      </w:r>
      <w:r>
        <w:rPr>
          <w:rFonts w:hint="eastAsia"/>
          <w:sz w:val="28"/>
          <w:szCs w:val="28"/>
          <w:u w:val="single"/>
          <w:lang w:val="en-US" w:eastAsia="zh-CN"/>
        </w:rPr>
        <w:t xml:space="preserve">  </w:t>
      </w:r>
      <w:r>
        <w:rPr>
          <w:sz w:val="28"/>
          <w:szCs w:val="28"/>
          <w:u w:val="single"/>
        </w:rPr>
        <w:t xml:space="preserve"> </w:t>
      </w:r>
      <w:r>
        <w:rPr>
          <w:rFonts w:hint="eastAsia"/>
          <w:sz w:val="28"/>
          <w:szCs w:val="28"/>
        </w:rPr>
        <w:t>街道</w:t>
      </w:r>
      <w:r>
        <w:rPr>
          <w:rFonts w:hint="eastAsia"/>
          <w:sz w:val="28"/>
          <w:szCs w:val="28"/>
          <w:u w:val="single"/>
          <w:lang w:val="en-US" w:eastAsia="zh-CN"/>
        </w:rPr>
        <w:t xml:space="preserve">    </w:t>
      </w:r>
      <w:r>
        <w:rPr>
          <w:rFonts w:hint="eastAsia"/>
          <w:sz w:val="28"/>
          <w:szCs w:val="28"/>
          <w:u w:val="none"/>
          <w:lang w:eastAsia="zh-CN"/>
        </w:rPr>
        <w:t>路</w:t>
      </w:r>
      <w:r>
        <w:rPr>
          <w:rFonts w:hint="eastAsia" w:eastAsia="宋体" w:cs="Times New Roman"/>
          <w:sz w:val="28"/>
          <w:szCs w:val="28"/>
          <w:u w:val="single"/>
          <w:lang w:val="en-US" w:eastAsia="zh-CN"/>
        </w:rPr>
        <w:t xml:space="preserve">   </w:t>
      </w:r>
      <w:r>
        <w:rPr>
          <w:rFonts w:hint="eastAsia"/>
          <w:sz w:val="28"/>
          <w:szCs w:val="28"/>
        </w:rPr>
        <w:t>号</w:t>
      </w:r>
      <w:r>
        <w:rPr>
          <w:rFonts w:hint="eastAsia"/>
          <w:sz w:val="28"/>
          <w:szCs w:val="28"/>
          <w:u w:val="single"/>
          <w:lang w:val="en-US" w:eastAsia="zh-CN"/>
        </w:rPr>
        <w:t xml:space="preserve"> </w:t>
      </w:r>
      <w:r>
        <w:rPr>
          <w:sz w:val="28"/>
          <w:szCs w:val="28"/>
          <w:u w:val="single"/>
        </w:rPr>
        <w:t xml:space="preserve">    </w:t>
      </w:r>
      <w:r>
        <w:rPr>
          <w:rFonts w:hint="eastAsia"/>
          <w:sz w:val="28"/>
          <w:szCs w:val="28"/>
        </w:rPr>
        <w:t>室</w:t>
      </w:r>
      <w:r>
        <w:rPr>
          <w:rFonts w:hint="eastAsia"/>
          <w:sz w:val="28"/>
          <w:szCs w:val="28"/>
          <w:lang w:eastAsia="zh-CN"/>
        </w:rPr>
        <w:t>，</w:t>
      </w:r>
      <w:r>
        <w:rPr>
          <w:rFonts w:hint="eastAsia"/>
          <w:sz w:val="28"/>
          <w:szCs w:val="28"/>
        </w:rPr>
        <w:t>房屋（土地）出租给乙方，出租房屋建筑面积为</w:t>
      </w:r>
      <w:r>
        <w:rPr>
          <w:sz w:val="28"/>
          <w:szCs w:val="28"/>
          <w:u w:val="single"/>
        </w:rPr>
        <w:t xml:space="preserve">  </w:t>
      </w:r>
      <w:r>
        <w:rPr>
          <w:rFonts w:hint="eastAsia"/>
          <w:sz w:val="28"/>
          <w:szCs w:val="28"/>
          <w:u w:val="single"/>
          <w:lang w:val="en-US" w:eastAsia="zh-CN"/>
        </w:rPr>
        <w:t xml:space="preserve">  </w:t>
      </w:r>
      <w:r>
        <w:rPr>
          <w:sz w:val="28"/>
          <w:szCs w:val="28"/>
          <w:u w:val="single"/>
        </w:rPr>
        <w:t xml:space="preserve">  </w:t>
      </w:r>
      <w:r>
        <w:rPr>
          <w:rFonts w:hint="eastAsia"/>
          <w:sz w:val="28"/>
          <w:szCs w:val="28"/>
        </w:rPr>
        <w:t>平方米。</w:t>
      </w:r>
    </w:p>
    <w:p w14:paraId="0362AC7F">
      <w:pPr>
        <w:spacing w:line="360" w:lineRule="auto"/>
        <w:ind w:firstLine="420" w:firstLineChars="150"/>
        <w:rPr>
          <w:sz w:val="28"/>
          <w:szCs w:val="28"/>
        </w:rPr>
      </w:pPr>
      <w:r>
        <w:rPr>
          <w:sz w:val="28"/>
          <w:szCs w:val="28"/>
        </w:rPr>
        <w:t>2</w:t>
      </w:r>
      <w:r>
        <w:rPr>
          <w:rFonts w:hint="eastAsia"/>
          <w:sz w:val="28"/>
          <w:szCs w:val="28"/>
        </w:rPr>
        <w:t>、该房屋土地的用途为</w:t>
      </w:r>
      <w:r>
        <w:rPr>
          <w:sz w:val="28"/>
          <w:szCs w:val="28"/>
        </w:rPr>
        <w:t>:</w:t>
      </w:r>
      <w:r>
        <w:rPr>
          <w:rFonts w:hint="eastAsia"/>
          <w:sz w:val="28"/>
          <w:szCs w:val="28"/>
        </w:rPr>
        <w:t>商</w:t>
      </w:r>
      <w:r>
        <w:rPr>
          <w:rFonts w:hint="eastAsia"/>
          <w:sz w:val="28"/>
          <w:szCs w:val="28"/>
          <w:lang w:eastAsia="zh-CN"/>
        </w:rPr>
        <w:t>业</w:t>
      </w:r>
      <w:r>
        <w:rPr>
          <w:rFonts w:hint="eastAsia"/>
          <w:sz w:val="28"/>
          <w:szCs w:val="28"/>
        </w:rPr>
        <w:t>办公等。</w:t>
      </w:r>
    </w:p>
    <w:p w14:paraId="20FB597D">
      <w:pPr>
        <w:spacing w:line="360" w:lineRule="auto"/>
        <w:ind w:firstLine="420" w:firstLineChars="150"/>
        <w:rPr>
          <w:sz w:val="28"/>
          <w:szCs w:val="28"/>
          <w:u w:val="single"/>
        </w:rPr>
      </w:pPr>
      <w:r>
        <w:rPr>
          <w:sz w:val="28"/>
          <w:szCs w:val="28"/>
        </w:rPr>
        <w:t>3</w:t>
      </w:r>
      <w:r>
        <w:rPr>
          <w:rFonts w:hint="eastAsia"/>
          <w:sz w:val="28"/>
          <w:szCs w:val="28"/>
        </w:rPr>
        <w:t>、甲方现有装修设施、设备情况：</w:t>
      </w:r>
      <w:r>
        <w:rPr>
          <w:sz w:val="28"/>
          <w:szCs w:val="28"/>
        </w:rPr>
        <w:t xml:space="preserve">                                             </w:t>
      </w:r>
      <w:r>
        <w:rPr>
          <w:sz w:val="28"/>
          <w:szCs w:val="28"/>
          <w:u w:val="single"/>
        </w:rPr>
        <w:t xml:space="preserve">                                                                    </w:t>
      </w:r>
    </w:p>
    <w:p w14:paraId="50C1170E">
      <w:pPr>
        <w:spacing w:line="360" w:lineRule="auto"/>
        <w:rPr>
          <w:sz w:val="28"/>
          <w:szCs w:val="28"/>
        </w:rPr>
      </w:pPr>
      <w:r>
        <w:rPr>
          <w:rFonts w:hint="eastAsia"/>
          <w:b/>
          <w:sz w:val="28"/>
          <w:szCs w:val="28"/>
        </w:rPr>
        <w:t>第二条、租赁期限</w:t>
      </w:r>
      <w:r>
        <w:rPr>
          <w:b/>
          <w:sz w:val="28"/>
          <w:szCs w:val="28"/>
        </w:rPr>
        <w:tab/>
      </w:r>
    </w:p>
    <w:p w14:paraId="54D74D9F">
      <w:pPr>
        <w:spacing w:line="360" w:lineRule="auto"/>
        <w:ind w:firstLine="560" w:firstLineChars="200"/>
        <w:rPr>
          <w:sz w:val="28"/>
          <w:szCs w:val="28"/>
        </w:rPr>
      </w:pPr>
      <w:r>
        <w:rPr>
          <w:rFonts w:hint="eastAsia"/>
          <w:sz w:val="28"/>
          <w:szCs w:val="28"/>
        </w:rPr>
        <w:t>租赁期限：自</w:t>
      </w:r>
      <w:r>
        <w:rPr>
          <w:sz w:val="28"/>
          <w:szCs w:val="28"/>
          <w:u w:val="single"/>
        </w:rPr>
        <w:t xml:space="preserve"> </w:t>
      </w:r>
      <w:r>
        <w:rPr>
          <w:rFonts w:hint="eastAsia"/>
          <w:sz w:val="28"/>
          <w:szCs w:val="28"/>
          <w:u w:val="single"/>
          <w:lang w:val="en-US" w:eastAsia="zh-CN"/>
        </w:rPr>
        <w:t xml:space="preserve">  </w:t>
      </w:r>
      <w:r>
        <w:rPr>
          <w:sz w:val="28"/>
          <w:szCs w:val="28"/>
          <w:u w:val="single"/>
        </w:rPr>
        <w:t xml:space="preserve"> </w:t>
      </w:r>
      <w:r>
        <w:rPr>
          <w:rFonts w:hint="eastAsia"/>
          <w:sz w:val="28"/>
          <w:szCs w:val="28"/>
          <w:u w:val="single"/>
        </w:rPr>
        <w:t>年</w:t>
      </w:r>
      <w:r>
        <w:rPr>
          <w:sz w:val="28"/>
          <w:szCs w:val="28"/>
          <w:u w:val="single"/>
        </w:rPr>
        <w:t xml:space="preserve"> </w:t>
      </w:r>
      <w:r>
        <w:rPr>
          <w:rFonts w:hint="eastAsia"/>
          <w:sz w:val="28"/>
          <w:szCs w:val="28"/>
          <w:u w:val="single"/>
          <w:lang w:val="en-US" w:eastAsia="zh-CN"/>
        </w:rPr>
        <w:t xml:space="preserve"> </w:t>
      </w:r>
      <w:r>
        <w:rPr>
          <w:sz w:val="28"/>
          <w:szCs w:val="28"/>
          <w:u w:val="single"/>
        </w:rPr>
        <w:t xml:space="preserve"> </w:t>
      </w:r>
      <w:r>
        <w:rPr>
          <w:rFonts w:hint="eastAsia"/>
          <w:sz w:val="28"/>
          <w:szCs w:val="28"/>
          <w:u w:val="single"/>
        </w:rPr>
        <w:t>月</w:t>
      </w:r>
      <w:r>
        <w:rPr>
          <w:rFonts w:hint="eastAsia"/>
          <w:sz w:val="28"/>
          <w:szCs w:val="28"/>
          <w:u w:val="single"/>
          <w:lang w:val="en-US" w:eastAsia="zh-CN"/>
        </w:rPr>
        <w:t xml:space="preserve">  </w:t>
      </w:r>
      <w:r>
        <w:rPr>
          <w:rFonts w:hint="eastAsia"/>
          <w:sz w:val="28"/>
          <w:szCs w:val="28"/>
          <w:u w:val="single"/>
        </w:rPr>
        <w:t>日</w:t>
      </w:r>
      <w:r>
        <w:rPr>
          <w:rFonts w:hint="eastAsia"/>
          <w:sz w:val="28"/>
          <w:szCs w:val="28"/>
        </w:rPr>
        <w:t>至</w:t>
      </w:r>
      <w:r>
        <w:rPr>
          <w:sz w:val="28"/>
          <w:szCs w:val="28"/>
          <w:u w:val="single"/>
        </w:rPr>
        <w:t xml:space="preserve"> </w:t>
      </w:r>
      <w:r>
        <w:rPr>
          <w:rFonts w:hint="eastAsia"/>
          <w:sz w:val="28"/>
          <w:szCs w:val="28"/>
          <w:u w:val="single"/>
          <w:lang w:val="en-US" w:eastAsia="zh-CN"/>
        </w:rPr>
        <w:t xml:space="preserve">  </w:t>
      </w:r>
      <w:r>
        <w:rPr>
          <w:sz w:val="28"/>
          <w:szCs w:val="28"/>
          <w:u w:val="single"/>
        </w:rPr>
        <w:t xml:space="preserve"> </w:t>
      </w:r>
      <w:r>
        <w:rPr>
          <w:rFonts w:hint="eastAsia"/>
          <w:sz w:val="28"/>
          <w:szCs w:val="28"/>
          <w:u w:val="single"/>
        </w:rPr>
        <w:t>年</w:t>
      </w:r>
      <w:r>
        <w:rPr>
          <w:sz w:val="28"/>
          <w:szCs w:val="28"/>
          <w:u w:val="single"/>
        </w:rPr>
        <w:t xml:space="preserve"> </w:t>
      </w:r>
      <w:r>
        <w:rPr>
          <w:rFonts w:hint="eastAsia"/>
          <w:sz w:val="28"/>
          <w:szCs w:val="28"/>
          <w:u w:val="single"/>
          <w:lang w:val="en-US" w:eastAsia="zh-CN"/>
        </w:rPr>
        <w:t xml:space="preserve"> </w:t>
      </w:r>
      <w:r>
        <w:rPr>
          <w:rFonts w:hint="eastAsia"/>
          <w:sz w:val="28"/>
          <w:szCs w:val="28"/>
          <w:u w:val="single"/>
        </w:rPr>
        <w:t>月</w:t>
      </w:r>
      <w:r>
        <w:rPr>
          <w:rFonts w:hint="eastAsia"/>
          <w:sz w:val="28"/>
          <w:szCs w:val="28"/>
          <w:u w:val="single"/>
          <w:lang w:val="en-US" w:eastAsia="zh-CN"/>
        </w:rPr>
        <w:t xml:space="preserve">   </w:t>
      </w:r>
      <w:r>
        <w:rPr>
          <w:rFonts w:hint="eastAsia"/>
          <w:sz w:val="28"/>
          <w:szCs w:val="28"/>
          <w:u w:val="single"/>
        </w:rPr>
        <w:t>日</w:t>
      </w:r>
      <w:r>
        <w:rPr>
          <w:rFonts w:hint="eastAsia"/>
          <w:sz w:val="28"/>
          <w:szCs w:val="28"/>
        </w:rPr>
        <w:t>止。</w:t>
      </w:r>
    </w:p>
    <w:p w14:paraId="57273528">
      <w:pPr>
        <w:spacing w:line="360" w:lineRule="auto"/>
        <w:rPr>
          <w:b/>
          <w:sz w:val="28"/>
          <w:szCs w:val="28"/>
        </w:rPr>
      </w:pPr>
      <w:r>
        <w:rPr>
          <w:rFonts w:hint="eastAsia"/>
          <w:b/>
          <w:sz w:val="28"/>
          <w:szCs w:val="28"/>
        </w:rPr>
        <w:t>第三条、租金及合同履约保证金</w:t>
      </w:r>
    </w:p>
    <w:p w14:paraId="629910E9">
      <w:pPr>
        <w:ind w:firstLine="420" w:firstLineChars="150"/>
        <w:rPr>
          <w:rFonts w:ascii="宋体"/>
          <w:sz w:val="28"/>
          <w:szCs w:val="28"/>
        </w:rPr>
      </w:pPr>
      <w:r>
        <w:rPr>
          <w:sz w:val="28"/>
          <w:szCs w:val="28"/>
        </w:rPr>
        <w:t>1</w:t>
      </w:r>
      <w:r>
        <w:rPr>
          <w:rFonts w:hint="eastAsia" w:hAnsi="宋体"/>
          <w:sz w:val="28"/>
          <w:szCs w:val="28"/>
        </w:rPr>
        <w:t>、</w:t>
      </w:r>
      <w:r>
        <w:rPr>
          <w:rFonts w:hint="eastAsia" w:ascii="宋体" w:hAnsi="宋体"/>
          <w:sz w:val="28"/>
          <w:szCs w:val="28"/>
        </w:rPr>
        <w:t>租金为人民币每年</w:t>
      </w:r>
      <w:r>
        <w:rPr>
          <w:rFonts w:ascii="宋体" w:hAnsi="宋体"/>
          <w:sz w:val="28"/>
          <w:szCs w:val="28"/>
        </w:rPr>
        <w:t xml:space="preserve"> </w:t>
      </w:r>
      <w:r>
        <w:rPr>
          <w:rFonts w:hint="eastAsia" w:ascii="宋体" w:hAnsi="宋体"/>
          <w:sz w:val="28"/>
          <w:szCs w:val="28"/>
          <w:lang w:val="en-US" w:eastAsia="zh-CN"/>
        </w:rPr>
        <w:t xml:space="preserve">   </w:t>
      </w:r>
      <w:r>
        <w:rPr>
          <w:rFonts w:hint="eastAsia" w:ascii="宋体" w:hAnsi="宋体"/>
          <w:sz w:val="28"/>
          <w:szCs w:val="28"/>
        </w:rPr>
        <w:t>　</w:t>
      </w:r>
      <w:r>
        <w:rPr>
          <w:rFonts w:ascii="宋体" w:hAnsi="宋体"/>
          <w:sz w:val="28"/>
          <w:szCs w:val="28"/>
        </w:rPr>
        <w:t xml:space="preserve"> </w:t>
      </w:r>
      <w:r>
        <w:rPr>
          <w:rFonts w:hint="eastAsia" w:ascii="宋体" w:hAnsi="宋体"/>
          <w:sz w:val="28"/>
          <w:szCs w:val="28"/>
        </w:rPr>
        <w:t>元（大写）。</w:t>
      </w:r>
    </w:p>
    <w:p w14:paraId="0F64E2BC">
      <w:pPr>
        <w:ind w:firstLine="420" w:firstLineChars="150"/>
        <w:rPr>
          <w:rFonts w:ascii="宋体"/>
          <w:sz w:val="28"/>
          <w:szCs w:val="28"/>
        </w:rPr>
      </w:pPr>
      <w:r>
        <w:rPr>
          <w:sz w:val="28"/>
          <w:szCs w:val="28"/>
        </w:rPr>
        <w:t>2</w:t>
      </w:r>
      <w:r>
        <w:rPr>
          <w:rFonts w:hint="eastAsia" w:hAnsi="宋体"/>
          <w:sz w:val="28"/>
          <w:szCs w:val="28"/>
        </w:rPr>
        <w:t>、</w:t>
      </w:r>
      <w:r>
        <w:rPr>
          <w:rFonts w:hint="eastAsia" w:ascii="宋体" w:hAnsi="宋体"/>
          <w:sz w:val="28"/>
          <w:szCs w:val="28"/>
        </w:rPr>
        <w:t>租金支付原则为：先支付后使用，按</w:t>
      </w:r>
      <w:r>
        <w:rPr>
          <w:rFonts w:ascii="宋体" w:hAnsi="宋体"/>
          <w:sz w:val="28"/>
          <w:szCs w:val="28"/>
        </w:rPr>
        <w:t xml:space="preserve">  </w:t>
      </w:r>
      <w:r>
        <w:rPr>
          <w:rFonts w:hint="eastAsia" w:ascii="宋体" w:hAnsi="宋体"/>
          <w:sz w:val="28"/>
          <w:szCs w:val="28"/>
          <w:lang w:val="en-US" w:eastAsia="zh-CN"/>
        </w:rPr>
        <w:t xml:space="preserve"> </w:t>
      </w:r>
      <w:r>
        <w:rPr>
          <w:rFonts w:ascii="宋体" w:hAnsi="宋体"/>
          <w:sz w:val="28"/>
          <w:szCs w:val="28"/>
        </w:rPr>
        <w:t xml:space="preserve">  </w:t>
      </w:r>
      <w:r>
        <w:rPr>
          <w:rFonts w:hint="eastAsia" w:ascii="宋体" w:hAnsi="宋体"/>
          <w:sz w:val="28"/>
          <w:szCs w:val="28"/>
        </w:rPr>
        <w:t>（半年度、年度、一次性）收取。本合同签订</w:t>
      </w:r>
      <w:r>
        <w:rPr>
          <w:rFonts w:ascii="宋体" w:hAnsi="宋体"/>
          <w:sz w:val="28"/>
          <w:szCs w:val="28"/>
        </w:rPr>
        <w:t>之日起</w:t>
      </w:r>
      <w:r>
        <w:rPr>
          <w:sz w:val="28"/>
          <w:szCs w:val="28"/>
        </w:rPr>
        <w:t>7</w:t>
      </w:r>
      <w:r>
        <w:rPr>
          <w:rFonts w:hint="eastAsia" w:ascii="宋体" w:hAnsi="宋体"/>
          <w:sz w:val="28"/>
          <w:szCs w:val="28"/>
        </w:rPr>
        <w:t>日内乙方支付首期租金，此后的每一期的租金，乙方应按照先支付后使用原则交付给甲方，不得延迟交付</w:t>
      </w:r>
      <w:r>
        <w:rPr>
          <w:rFonts w:ascii="宋体" w:hAnsi="宋体"/>
          <w:sz w:val="28"/>
          <w:szCs w:val="28"/>
        </w:rPr>
        <w:t>，每期到期</w:t>
      </w:r>
      <w:r>
        <w:rPr>
          <w:rFonts w:hint="eastAsia" w:ascii="宋体" w:hAnsi="宋体"/>
          <w:sz w:val="28"/>
          <w:szCs w:val="28"/>
          <w:u w:val="single"/>
        </w:rPr>
        <w:t>7</w:t>
      </w:r>
      <w:r>
        <w:rPr>
          <w:rFonts w:ascii="宋体" w:hAnsi="宋体"/>
          <w:sz w:val="28"/>
          <w:szCs w:val="28"/>
        </w:rPr>
        <w:t>日</w:t>
      </w:r>
      <w:r>
        <w:rPr>
          <w:rFonts w:hint="eastAsia" w:ascii="宋体" w:hAnsi="宋体"/>
          <w:sz w:val="28"/>
          <w:szCs w:val="28"/>
        </w:rPr>
        <w:t>之</w:t>
      </w:r>
      <w:r>
        <w:rPr>
          <w:rFonts w:ascii="宋体" w:hAnsi="宋体"/>
          <w:sz w:val="28"/>
          <w:szCs w:val="28"/>
        </w:rPr>
        <w:t>前</w:t>
      </w:r>
      <w:r>
        <w:rPr>
          <w:rFonts w:hint="eastAsia" w:ascii="宋体" w:hAnsi="宋体"/>
          <w:sz w:val="28"/>
          <w:szCs w:val="28"/>
        </w:rPr>
        <w:t>需付清</w:t>
      </w:r>
      <w:r>
        <w:rPr>
          <w:rFonts w:ascii="宋体" w:hAnsi="宋体"/>
          <w:sz w:val="28"/>
          <w:szCs w:val="28"/>
        </w:rPr>
        <w:t>下一期租金</w:t>
      </w:r>
      <w:r>
        <w:rPr>
          <w:rFonts w:hint="eastAsia" w:ascii="宋体" w:hAnsi="宋体"/>
          <w:sz w:val="28"/>
          <w:szCs w:val="28"/>
        </w:rPr>
        <w:t>。甲方收到乙方租金后向乙方开具租金发票。</w:t>
      </w:r>
    </w:p>
    <w:p w14:paraId="16828645">
      <w:pPr>
        <w:ind w:firstLine="420" w:firstLineChars="150"/>
        <w:rPr>
          <w:rFonts w:ascii="宋体"/>
          <w:sz w:val="28"/>
          <w:szCs w:val="28"/>
        </w:rPr>
      </w:pPr>
      <w:r>
        <w:rPr>
          <w:sz w:val="28"/>
          <w:szCs w:val="28"/>
        </w:rPr>
        <w:t>3</w:t>
      </w:r>
      <w:r>
        <w:rPr>
          <w:rFonts w:hint="eastAsia" w:hAnsi="宋体"/>
          <w:sz w:val="28"/>
          <w:szCs w:val="28"/>
        </w:rPr>
        <w:t>、</w:t>
      </w:r>
      <w:r>
        <w:rPr>
          <w:rFonts w:hint="eastAsia" w:ascii="宋体" w:hAnsi="宋体"/>
          <w:sz w:val="28"/>
          <w:szCs w:val="28"/>
        </w:rPr>
        <w:t>为保证合同的履约以及对承租房屋土地及其所有附属设施的合理使用，乙方必须在合同签订</w:t>
      </w:r>
      <w:r>
        <w:rPr>
          <w:rFonts w:ascii="宋体" w:hAnsi="宋体"/>
          <w:sz w:val="28"/>
          <w:szCs w:val="28"/>
        </w:rPr>
        <w:t>之日起</w:t>
      </w:r>
      <w:r>
        <w:rPr>
          <w:sz w:val="28"/>
          <w:szCs w:val="28"/>
        </w:rPr>
        <w:t>7</w:t>
      </w:r>
      <w:r>
        <w:rPr>
          <w:rFonts w:hint="eastAsia" w:ascii="宋体" w:hAnsi="宋体"/>
          <w:sz w:val="28"/>
          <w:szCs w:val="28"/>
        </w:rPr>
        <w:t>日内向甲方交付合同履约保证金人民币</w:t>
      </w:r>
      <w:r>
        <w:rPr>
          <w:rFonts w:ascii="宋体" w:hAnsi="宋体"/>
          <w:sz w:val="28"/>
          <w:szCs w:val="28"/>
        </w:rPr>
        <w:t xml:space="preserve"> </w:t>
      </w:r>
      <w:r>
        <w:rPr>
          <w:rFonts w:hint="eastAsia" w:ascii="宋体" w:hAnsi="宋体"/>
          <w:sz w:val="28"/>
          <w:szCs w:val="28"/>
          <w:lang w:val="en-US" w:eastAsia="zh-CN"/>
        </w:rPr>
        <w:t xml:space="preserve">    </w:t>
      </w:r>
      <w:r>
        <w:rPr>
          <w:rFonts w:hint="eastAsia" w:ascii="宋体" w:hAnsi="宋体"/>
          <w:sz w:val="28"/>
          <w:szCs w:val="28"/>
        </w:rPr>
        <w:t>元（</w:t>
      </w:r>
      <w:r>
        <w:rPr>
          <w:rFonts w:hint="eastAsia"/>
          <w:sz w:val="28"/>
          <w:szCs w:val="28"/>
        </w:rPr>
        <w:t>第一年成交租金的</w:t>
      </w:r>
      <w:r>
        <w:rPr>
          <w:rFonts w:hint="eastAsia"/>
          <w:sz w:val="28"/>
          <w:szCs w:val="28"/>
          <w:lang w:eastAsia="zh-CN"/>
        </w:rPr>
        <w:t>三个月租金</w:t>
      </w:r>
      <w:r>
        <w:rPr>
          <w:rFonts w:hint="eastAsia"/>
          <w:sz w:val="28"/>
          <w:szCs w:val="28"/>
        </w:rPr>
        <w:t>作为履约保</w:t>
      </w:r>
      <w:r>
        <w:rPr>
          <w:rFonts w:hint="eastAsia" w:ascii="宋体" w:hAnsi="宋体"/>
          <w:sz w:val="28"/>
          <w:szCs w:val="28"/>
        </w:rPr>
        <w:t>）。乙方应按照本合同约定切实履行各项义务，否则，甲方可从合同履约保证金中优先扣除乙方未结清的费用和应承担的各项赔偿等</w:t>
      </w:r>
      <w:r>
        <w:rPr>
          <w:rFonts w:ascii="宋体" w:hAnsi="宋体"/>
          <w:sz w:val="28"/>
          <w:szCs w:val="28"/>
        </w:rPr>
        <w:t>，甲方扣除后应在</w:t>
      </w:r>
      <w:r>
        <w:rPr>
          <w:rFonts w:hint="eastAsia" w:ascii="宋体" w:hAnsi="宋体"/>
          <w:sz w:val="28"/>
          <w:szCs w:val="28"/>
          <w:u w:val="single"/>
        </w:rPr>
        <w:t>15</w:t>
      </w:r>
      <w:r>
        <w:rPr>
          <w:rFonts w:ascii="宋体" w:hAnsi="宋体"/>
          <w:sz w:val="28"/>
          <w:szCs w:val="28"/>
        </w:rPr>
        <w:t>日内补足。如乙方违约，甲方可罚没履约保证金。</w:t>
      </w:r>
    </w:p>
    <w:p w14:paraId="5C810D31">
      <w:pPr>
        <w:ind w:firstLine="560" w:firstLineChars="200"/>
        <w:rPr>
          <w:rFonts w:ascii="宋体"/>
          <w:sz w:val="28"/>
          <w:szCs w:val="28"/>
        </w:rPr>
      </w:pPr>
      <w:r>
        <w:rPr>
          <w:sz w:val="28"/>
          <w:szCs w:val="28"/>
        </w:rPr>
        <w:t>4</w:t>
      </w:r>
      <w:r>
        <w:rPr>
          <w:rFonts w:hint="eastAsia" w:hAnsi="宋体"/>
          <w:sz w:val="28"/>
          <w:szCs w:val="28"/>
        </w:rPr>
        <w:t>、</w:t>
      </w:r>
      <w:r>
        <w:rPr>
          <w:rFonts w:hint="eastAsia" w:ascii="宋体" w:hAnsi="宋体"/>
          <w:sz w:val="28"/>
          <w:szCs w:val="28"/>
        </w:rPr>
        <w:t>合同履约保证金不计利息，待租期届满，乙方结清所有费用，</w:t>
      </w:r>
      <w:r>
        <w:rPr>
          <w:rFonts w:ascii="宋体" w:hAnsi="宋体"/>
          <w:sz w:val="28"/>
          <w:szCs w:val="28"/>
        </w:rPr>
        <w:t>乙方无违约情形</w:t>
      </w:r>
      <w:r>
        <w:rPr>
          <w:rFonts w:hint="eastAsia" w:ascii="宋体" w:hAnsi="宋体"/>
          <w:sz w:val="28"/>
          <w:szCs w:val="28"/>
        </w:rPr>
        <w:t>且甲方对乙方交还的房屋土地验收合格后，甲方将履约保证金退还给乙方。</w:t>
      </w:r>
    </w:p>
    <w:p w14:paraId="4EE8482C">
      <w:pPr>
        <w:spacing w:line="360" w:lineRule="auto"/>
        <w:rPr>
          <w:b/>
          <w:sz w:val="28"/>
          <w:szCs w:val="28"/>
        </w:rPr>
      </w:pPr>
      <w:r>
        <w:rPr>
          <w:rFonts w:hint="eastAsia"/>
          <w:b/>
          <w:sz w:val="28"/>
          <w:szCs w:val="28"/>
        </w:rPr>
        <w:t>第四条、房屋土地的交付</w:t>
      </w:r>
    </w:p>
    <w:p w14:paraId="326C0F54">
      <w:pPr>
        <w:spacing w:line="360" w:lineRule="auto"/>
        <w:ind w:firstLine="560" w:firstLineChars="200"/>
        <w:rPr>
          <w:sz w:val="28"/>
          <w:szCs w:val="28"/>
        </w:rPr>
      </w:pPr>
      <w:r>
        <w:rPr>
          <w:rFonts w:hint="eastAsia"/>
          <w:sz w:val="28"/>
          <w:szCs w:val="28"/>
        </w:rPr>
        <w:t>甲方应在乙方交清第一期租金以及合同履约保证金后</w:t>
      </w:r>
      <w:r>
        <w:rPr>
          <w:sz w:val="28"/>
          <w:szCs w:val="28"/>
          <w:u w:val="single"/>
        </w:rPr>
        <w:t>7</w:t>
      </w:r>
      <w:r>
        <w:rPr>
          <w:rFonts w:hint="eastAsia"/>
          <w:sz w:val="28"/>
          <w:szCs w:val="28"/>
        </w:rPr>
        <w:t>日内将房屋土地交付给乙方（如房屋土地有相关钥匙一并交给乙方）</w:t>
      </w:r>
      <w:r>
        <w:rPr>
          <w:sz w:val="28"/>
          <w:szCs w:val="28"/>
        </w:rPr>
        <w:t>，如乙方逾期缴纳第一期租金或履约保证金，甲方可解除本协议，乙方赔偿</w:t>
      </w:r>
      <w:r>
        <w:rPr>
          <w:rFonts w:hint="eastAsia"/>
          <w:sz w:val="28"/>
          <w:szCs w:val="28"/>
        </w:rPr>
        <w:t>一个月租金标准的</w:t>
      </w:r>
      <w:r>
        <w:rPr>
          <w:sz w:val="28"/>
          <w:szCs w:val="28"/>
        </w:rPr>
        <w:t>违约金。</w:t>
      </w:r>
    </w:p>
    <w:p w14:paraId="27ED68C4">
      <w:pPr>
        <w:spacing w:line="360" w:lineRule="auto"/>
        <w:rPr>
          <w:b/>
          <w:sz w:val="28"/>
          <w:szCs w:val="28"/>
        </w:rPr>
      </w:pPr>
      <w:r>
        <w:rPr>
          <w:rFonts w:hint="eastAsia"/>
          <w:b/>
          <w:sz w:val="28"/>
          <w:szCs w:val="28"/>
        </w:rPr>
        <w:t>第五条、</w:t>
      </w:r>
      <w:r>
        <w:rPr>
          <w:b/>
          <w:sz w:val="28"/>
          <w:szCs w:val="28"/>
        </w:rPr>
        <w:t xml:space="preserve"> </w:t>
      </w:r>
      <w:r>
        <w:rPr>
          <w:rFonts w:hint="eastAsia"/>
          <w:b/>
          <w:sz w:val="28"/>
          <w:szCs w:val="28"/>
        </w:rPr>
        <w:t>双方的权利义务</w:t>
      </w:r>
    </w:p>
    <w:p w14:paraId="5DF75F96">
      <w:pPr>
        <w:spacing w:line="360" w:lineRule="auto"/>
        <w:ind w:firstLine="560" w:firstLineChars="200"/>
        <w:rPr>
          <w:sz w:val="28"/>
          <w:szCs w:val="28"/>
        </w:rPr>
      </w:pPr>
      <w:r>
        <w:rPr>
          <w:sz w:val="28"/>
          <w:szCs w:val="28"/>
        </w:rPr>
        <w:t>1</w:t>
      </w:r>
      <w:r>
        <w:rPr>
          <w:rFonts w:hint="eastAsia"/>
          <w:sz w:val="28"/>
          <w:szCs w:val="28"/>
        </w:rPr>
        <w:t>、租赁期间，乙方应及时缴纳所租物业产生的各项费用（包含水、电、气、数字电视、卫生、物业管理等费用），如因乙方未按时交纳上述费用造成停水停电等情形的，由乙方承担责任，与甲方无涉。</w:t>
      </w:r>
    </w:p>
    <w:p w14:paraId="398BB071">
      <w:pPr>
        <w:spacing w:line="360" w:lineRule="auto"/>
        <w:ind w:firstLine="560" w:firstLineChars="200"/>
        <w:rPr>
          <w:sz w:val="28"/>
          <w:szCs w:val="28"/>
        </w:rPr>
      </w:pPr>
      <w:r>
        <w:rPr>
          <w:sz w:val="28"/>
          <w:szCs w:val="28"/>
        </w:rPr>
        <w:t>2</w:t>
      </w:r>
      <w:r>
        <w:rPr>
          <w:rFonts w:hint="eastAsia"/>
          <w:sz w:val="28"/>
          <w:szCs w:val="28"/>
        </w:rPr>
        <w:t>、租赁期间，对于防火、防盗、“门前五包”、综合治理及安全生产等工作，乙方应执行有关职能部门的规定并承担相关责任。</w:t>
      </w:r>
    </w:p>
    <w:p w14:paraId="16684D11">
      <w:pPr>
        <w:spacing w:line="360" w:lineRule="auto"/>
        <w:ind w:firstLine="560" w:firstLineChars="200"/>
        <w:rPr>
          <w:sz w:val="28"/>
          <w:szCs w:val="28"/>
        </w:rPr>
      </w:pPr>
      <w:r>
        <w:rPr>
          <w:sz w:val="28"/>
          <w:szCs w:val="28"/>
        </w:rPr>
        <w:t>3</w:t>
      </w:r>
      <w:r>
        <w:rPr>
          <w:rFonts w:hint="eastAsia"/>
          <w:sz w:val="28"/>
          <w:szCs w:val="28"/>
        </w:rPr>
        <w:t>、租赁期间，乙方不得擅自将承租的房屋</w:t>
      </w:r>
      <w:r>
        <w:rPr>
          <w:sz w:val="28"/>
          <w:szCs w:val="28"/>
        </w:rPr>
        <w:t>、</w:t>
      </w:r>
      <w:r>
        <w:rPr>
          <w:rFonts w:hint="eastAsia"/>
          <w:sz w:val="28"/>
          <w:szCs w:val="28"/>
        </w:rPr>
        <w:t>土地转让、转借或转租他人。租期内如乙方确因经营不善导致租金支付困难或其他重大变故等特殊原因要求转租转让的，必须书面报告甲方，在符合以下条件基础上甲方允许乙方转租转让</w:t>
      </w:r>
      <w:r>
        <w:rPr>
          <w:rFonts w:hint="eastAsia" w:ascii="宋体" w:hAnsi="宋体" w:cs="宋体"/>
          <w:sz w:val="28"/>
          <w:szCs w:val="28"/>
        </w:rPr>
        <w:t>（含部分转租）</w:t>
      </w:r>
      <w:r>
        <w:rPr>
          <w:rFonts w:hint="eastAsia"/>
          <w:sz w:val="28"/>
          <w:szCs w:val="28"/>
        </w:rPr>
        <w:t>：</w:t>
      </w:r>
      <w:r>
        <w:rPr>
          <w:sz w:val="28"/>
          <w:szCs w:val="28"/>
        </w:rPr>
        <w:t>(1)新承租人有履约能力</w:t>
      </w:r>
      <w:r>
        <w:rPr>
          <w:rFonts w:hint="eastAsia"/>
          <w:sz w:val="28"/>
          <w:szCs w:val="28"/>
        </w:rPr>
        <w:t>，且新承租人愿意履行乙方剩余租期及合同约定的权利义务；</w:t>
      </w:r>
      <w:r>
        <w:rPr>
          <w:sz w:val="28"/>
          <w:szCs w:val="28"/>
        </w:rPr>
        <w:t>(2)</w:t>
      </w:r>
      <w:r>
        <w:rPr>
          <w:rFonts w:hint="eastAsia"/>
          <w:sz w:val="28"/>
          <w:szCs w:val="28"/>
        </w:rPr>
        <w:t>转租转让行为不损害甲方利益；</w:t>
      </w:r>
      <w:r>
        <w:rPr>
          <w:sz w:val="28"/>
          <w:szCs w:val="28"/>
        </w:rPr>
        <w:t>(3)</w:t>
      </w:r>
      <w:r>
        <w:rPr>
          <w:rFonts w:hint="eastAsia"/>
          <w:sz w:val="28"/>
          <w:szCs w:val="28"/>
        </w:rPr>
        <w:t>乙方租期剩余时间不低于</w:t>
      </w:r>
      <w:r>
        <w:rPr>
          <w:sz w:val="28"/>
          <w:szCs w:val="28"/>
        </w:rPr>
        <w:t>6</w:t>
      </w:r>
      <w:r>
        <w:rPr>
          <w:rFonts w:hint="eastAsia"/>
          <w:sz w:val="28"/>
          <w:szCs w:val="28"/>
        </w:rPr>
        <w:t>个月。整体转租转让的应经</w:t>
      </w:r>
      <w:r>
        <w:rPr>
          <w:sz w:val="28"/>
          <w:szCs w:val="28"/>
        </w:rPr>
        <w:t>甲方同意后，与乙方办理合同解除手续，</w:t>
      </w:r>
      <w:r>
        <w:rPr>
          <w:rFonts w:hint="eastAsia"/>
          <w:sz w:val="28"/>
          <w:szCs w:val="28"/>
        </w:rPr>
        <w:t>与新的承租人</w:t>
      </w:r>
      <w:r>
        <w:rPr>
          <w:sz w:val="28"/>
          <w:szCs w:val="28"/>
        </w:rPr>
        <w:t>按剩余租期</w:t>
      </w:r>
      <w:r>
        <w:rPr>
          <w:rFonts w:hint="eastAsia"/>
          <w:sz w:val="28"/>
          <w:szCs w:val="28"/>
        </w:rPr>
        <w:t>签订房屋租赁合同；部分转租的，乙方签订的转租合同须报甲方备案。</w:t>
      </w:r>
    </w:p>
    <w:p w14:paraId="6D12CACF">
      <w:pPr>
        <w:spacing w:line="360" w:lineRule="auto"/>
        <w:ind w:firstLine="560" w:firstLineChars="200"/>
        <w:rPr>
          <w:sz w:val="28"/>
          <w:szCs w:val="28"/>
        </w:rPr>
      </w:pPr>
      <w:r>
        <w:rPr>
          <w:sz w:val="28"/>
          <w:szCs w:val="28"/>
        </w:rPr>
        <w:t>4</w:t>
      </w:r>
      <w:r>
        <w:rPr>
          <w:rFonts w:hint="eastAsia"/>
          <w:sz w:val="28"/>
          <w:szCs w:val="28"/>
        </w:rPr>
        <w:t>、租赁期间，房屋</w:t>
      </w:r>
      <w:r>
        <w:rPr>
          <w:sz w:val="28"/>
          <w:szCs w:val="28"/>
        </w:rPr>
        <w:t>、</w:t>
      </w:r>
      <w:r>
        <w:rPr>
          <w:rFonts w:hint="eastAsia"/>
          <w:sz w:val="28"/>
          <w:szCs w:val="28"/>
        </w:rPr>
        <w:t>土地的管理</w:t>
      </w:r>
      <w:r>
        <w:rPr>
          <w:rFonts w:hint="eastAsia"/>
        </w:rPr>
        <w:t>、</w:t>
      </w:r>
      <w:r>
        <w:rPr>
          <w:rFonts w:hint="eastAsia"/>
          <w:sz w:val="28"/>
          <w:szCs w:val="28"/>
        </w:rPr>
        <w:t>使用由乙方负责，</w:t>
      </w:r>
      <w:r>
        <w:rPr>
          <w:rFonts w:hint="eastAsia"/>
          <w:sz w:val="28"/>
        </w:rPr>
        <w:t>若因房屋受损、漏水等造成财物损失或致第三方损失的，责任由乙方承担</w:t>
      </w:r>
      <w:r>
        <w:rPr>
          <w:rFonts w:hint="eastAsia"/>
          <w:sz w:val="28"/>
          <w:szCs w:val="28"/>
        </w:rPr>
        <w:t>。租期内对房屋结构出现的不安全因素乙方应及时向甲方报告，并对甲方正常的房屋检查和修缮给予配合协助。租赁期内，因承租房屋出现诸如墙体开裂、屋面漏水等严重影响正常使用的，由甲方负责维修并承担修缮费用，甲方在收到乙方书面通知书</w:t>
      </w:r>
      <w:r>
        <w:rPr>
          <w:sz w:val="28"/>
          <w:szCs w:val="28"/>
        </w:rPr>
        <w:t>30</w:t>
      </w:r>
      <w:r>
        <w:rPr>
          <w:rFonts w:hint="eastAsia"/>
          <w:sz w:val="28"/>
          <w:szCs w:val="28"/>
        </w:rPr>
        <w:t>日内对承租房开始进行修缮。如房屋经鉴定为危房或者短期内</w:t>
      </w:r>
      <w:r>
        <w:rPr>
          <w:sz w:val="28"/>
          <w:szCs w:val="28"/>
        </w:rPr>
        <w:t xml:space="preserve"> </w:t>
      </w:r>
      <w:r>
        <w:rPr>
          <w:rFonts w:hint="eastAsia"/>
          <w:sz w:val="28"/>
          <w:szCs w:val="28"/>
        </w:rPr>
        <w:t>（</w:t>
      </w:r>
      <w:r>
        <w:rPr>
          <w:sz w:val="28"/>
          <w:szCs w:val="28"/>
        </w:rPr>
        <w:t>1</w:t>
      </w:r>
      <w:r>
        <w:rPr>
          <w:rFonts w:hint="eastAsia"/>
          <w:sz w:val="28"/>
          <w:szCs w:val="28"/>
        </w:rPr>
        <w:t>个月内）无法修复的，甲方书面通知乙方停止使用房屋，在乙方停止使用期间，甲方不再收取租金，但也不承担其他费用。以下情形甲方不承担房屋修缮：</w:t>
      </w:r>
      <w:r>
        <w:rPr>
          <w:sz w:val="28"/>
          <w:szCs w:val="28"/>
        </w:rPr>
        <w:t>(1)</w:t>
      </w:r>
      <w:r>
        <w:rPr>
          <w:rFonts w:hint="eastAsia"/>
          <w:sz w:val="28"/>
          <w:szCs w:val="28"/>
        </w:rPr>
        <w:t>房屋出现漏水等情形系乙方不合理使用、未及时维护保养造成的；</w:t>
      </w:r>
      <w:r>
        <w:rPr>
          <w:sz w:val="28"/>
          <w:szCs w:val="28"/>
        </w:rPr>
        <w:t xml:space="preserve"> (2)</w:t>
      </w:r>
      <w:r>
        <w:rPr>
          <w:rFonts w:hint="eastAsia"/>
          <w:sz w:val="28"/>
          <w:szCs w:val="28"/>
        </w:rPr>
        <w:t>乙方在甲方通知修缮的期限内未予配合，经第二次通知后仍不配合的；</w:t>
      </w:r>
      <w:r>
        <w:rPr>
          <w:sz w:val="28"/>
          <w:szCs w:val="28"/>
        </w:rPr>
        <w:t xml:space="preserve"> (3)</w:t>
      </w:r>
      <w:r>
        <w:rPr>
          <w:rFonts w:hint="eastAsia"/>
          <w:sz w:val="28"/>
          <w:szCs w:val="28"/>
        </w:rPr>
        <w:t>因门窗破旧造成小面积漏水、墙体小范围裂缝造成渗水等。</w:t>
      </w:r>
      <w:r>
        <w:rPr>
          <w:sz w:val="28"/>
          <w:szCs w:val="28"/>
        </w:rPr>
        <w:t xml:space="preserve"> </w:t>
      </w:r>
    </w:p>
    <w:p w14:paraId="6FCE0A22">
      <w:pPr>
        <w:spacing w:line="360" w:lineRule="auto"/>
        <w:ind w:firstLine="560" w:firstLineChars="200"/>
        <w:rPr>
          <w:sz w:val="28"/>
          <w:szCs w:val="28"/>
        </w:rPr>
      </w:pPr>
      <w:r>
        <w:rPr>
          <w:sz w:val="28"/>
          <w:szCs w:val="28"/>
        </w:rPr>
        <w:t>5</w:t>
      </w:r>
      <w:r>
        <w:rPr>
          <w:rFonts w:hint="eastAsia"/>
          <w:sz w:val="28"/>
          <w:szCs w:val="28"/>
        </w:rPr>
        <w:t>、乙方应合理使用所承租的房屋土地及其附属设施。如因乙方使用不当等原因造成损坏灭失的，乙方应立即负责修复、恢复原状，并承担其他相应的赔偿责任。如造成第三方人身、财产损失的，由乙方承担。</w:t>
      </w:r>
    </w:p>
    <w:p w14:paraId="4F5579D7">
      <w:pPr>
        <w:spacing w:line="360" w:lineRule="auto"/>
        <w:ind w:firstLine="560" w:firstLineChars="200"/>
        <w:rPr>
          <w:sz w:val="28"/>
          <w:szCs w:val="28"/>
        </w:rPr>
      </w:pPr>
      <w:r>
        <w:rPr>
          <w:sz w:val="28"/>
          <w:szCs w:val="28"/>
        </w:rPr>
        <w:t>6</w:t>
      </w:r>
      <w:r>
        <w:rPr>
          <w:rFonts w:hint="eastAsia"/>
          <w:sz w:val="28"/>
          <w:szCs w:val="28"/>
        </w:rPr>
        <w:t>、乙方不得损坏和擅自改变房屋结构及设施，如损坏应按甲方现行采购价格赔偿。乙方如需要对房屋进行装修装饰，必须事前</w:t>
      </w:r>
      <w:r>
        <w:rPr>
          <w:sz w:val="28"/>
          <w:szCs w:val="28"/>
          <w:u w:val="single"/>
        </w:rPr>
        <w:t xml:space="preserve"> </w:t>
      </w:r>
      <w:r>
        <w:rPr>
          <w:rFonts w:hint="eastAsia"/>
          <w:sz w:val="28"/>
          <w:szCs w:val="28"/>
          <w:u w:val="single"/>
        </w:rPr>
        <w:t>7</w:t>
      </w:r>
      <w:r>
        <w:rPr>
          <w:sz w:val="28"/>
          <w:szCs w:val="28"/>
          <w:u w:val="single"/>
        </w:rPr>
        <w:t xml:space="preserve"> </w:t>
      </w:r>
      <w:r>
        <w:rPr>
          <w:sz w:val="28"/>
          <w:szCs w:val="28"/>
        </w:rPr>
        <w:t>天</w:t>
      </w:r>
      <w:r>
        <w:rPr>
          <w:rFonts w:hint="eastAsia"/>
          <w:sz w:val="28"/>
          <w:szCs w:val="28"/>
        </w:rPr>
        <w:t>向甲方上报装修装饰方案并经甲方同意，装修装饰行为须符合消防、城管、房管、环保、卫生等部门规定，装修装饰的费用由乙方自理。如乙方未征得甲方书面同意，擅自装修的，甲方可要求乙方恢复原状，并赔偿损失。经甲方同意装修后的承租房，乙方应对其保持完好，不得毁坏相应设施，不得拆除一切附着于地面、墙壁、房顶上的固定装修装饰物。</w:t>
      </w:r>
    </w:p>
    <w:p w14:paraId="5AC4B248">
      <w:pPr>
        <w:spacing w:line="360" w:lineRule="auto"/>
        <w:ind w:firstLine="560" w:firstLineChars="200"/>
      </w:pPr>
      <w:r>
        <w:rPr>
          <w:sz w:val="28"/>
          <w:szCs w:val="28"/>
        </w:rPr>
        <w:t>7</w:t>
      </w:r>
      <w:r>
        <w:rPr>
          <w:rFonts w:hint="eastAsia"/>
          <w:sz w:val="28"/>
          <w:szCs w:val="28"/>
        </w:rPr>
        <w:t>、租赁期内，因政府项目建设需要征拆合同所涉房屋土地的，自收到政府征收拆迁公告之日起，本合同终止，合同约定的内容不再履行，双方互不负违约责任。对于所租赁房屋土地上乙方投入的装修部分，根据拆迁部门的评估价予以补偿。其他拆迁所涉及的</w:t>
      </w:r>
      <w:r>
        <w:rPr>
          <w:rFonts w:hint="eastAsia" w:ascii="宋体" w:hAnsi="宋体" w:cs="宋体"/>
          <w:sz w:val="28"/>
          <w:szCs w:val="28"/>
        </w:rPr>
        <w:t>停产停业损失补偿费、一次性搬迁费、临时安置费、货币补偿补助等，均归甲方所有，与乙方无涉。</w:t>
      </w:r>
      <w:r>
        <w:rPr>
          <w:rFonts w:hint="eastAsia"/>
          <w:sz w:val="28"/>
          <w:szCs w:val="28"/>
        </w:rPr>
        <w:t>乙方应在收到甲方搬迁通知书</w:t>
      </w:r>
      <w:r>
        <w:rPr>
          <w:sz w:val="28"/>
          <w:szCs w:val="28"/>
        </w:rPr>
        <w:t>15</w:t>
      </w:r>
      <w:r>
        <w:rPr>
          <w:rFonts w:hint="eastAsia"/>
          <w:sz w:val="28"/>
          <w:szCs w:val="28"/>
        </w:rPr>
        <w:t>日内，无条件腾空房屋土地并交还给甲方，不得以任何理由延迟腾退期限。</w:t>
      </w:r>
      <w:r>
        <w:rPr>
          <w:sz w:val="28"/>
          <w:szCs w:val="28"/>
        </w:rPr>
        <w:t>如延迟腾退按原租金</w:t>
      </w:r>
      <w:r>
        <w:rPr>
          <w:sz w:val="28"/>
          <w:szCs w:val="28"/>
          <w:u w:val="single"/>
        </w:rPr>
        <w:t>3</w:t>
      </w:r>
      <w:r>
        <w:rPr>
          <w:rFonts w:hint="eastAsia"/>
          <w:sz w:val="28"/>
          <w:szCs w:val="28"/>
        </w:rPr>
        <w:t>倍</w:t>
      </w:r>
      <w:r>
        <w:rPr>
          <w:sz w:val="28"/>
          <w:szCs w:val="28"/>
        </w:rPr>
        <w:t>标准支付占用期间使用费。</w:t>
      </w:r>
    </w:p>
    <w:p w14:paraId="6D5DB1DE">
      <w:pPr>
        <w:spacing w:line="360" w:lineRule="auto"/>
        <w:ind w:firstLine="560" w:firstLineChars="200"/>
        <w:rPr>
          <w:rFonts w:ascii="宋体" w:hAnsi="宋体" w:cs="宋体"/>
          <w:sz w:val="28"/>
          <w:szCs w:val="28"/>
        </w:rPr>
      </w:pPr>
      <w:r>
        <w:rPr>
          <w:rFonts w:hint="eastAsia" w:ascii="宋体" w:hAnsi="宋体" w:cs="宋体"/>
          <w:sz w:val="28"/>
          <w:szCs w:val="28"/>
        </w:rPr>
        <w:t>8、租赁合同解除、终止之日起</w:t>
      </w:r>
      <w:r>
        <w:rPr>
          <w:rFonts w:hint="eastAsia" w:ascii="宋体" w:hAnsi="宋体" w:cs="宋体"/>
          <w:sz w:val="28"/>
          <w:szCs w:val="28"/>
          <w:u w:val="single"/>
        </w:rPr>
        <w:t xml:space="preserve"> 7</w:t>
      </w:r>
      <w:r>
        <w:rPr>
          <w:rFonts w:hint="eastAsia" w:ascii="宋体" w:hAnsi="宋体" w:cs="宋体"/>
          <w:sz w:val="28"/>
          <w:szCs w:val="28"/>
        </w:rPr>
        <w:t>天内乙方需办理完成房屋交还手续，交还标准为：</w:t>
      </w:r>
      <w:r>
        <w:rPr>
          <w:sz w:val="28"/>
          <w:szCs w:val="28"/>
        </w:rPr>
        <w:t>(1)</w:t>
      </w:r>
      <w:r>
        <w:rPr>
          <w:rFonts w:hint="eastAsia" w:ascii="宋体" w:hAnsi="宋体" w:cs="宋体"/>
          <w:sz w:val="28"/>
          <w:szCs w:val="28"/>
        </w:rPr>
        <w:t>装修部分：</w:t>
      </w:r>
      <w:r>
        <w:rPr>
          <w:rFonts w:hint="eastAsia"/>
          <w:sz w:val="28"/>
          <w:szCs w:val="28"/>
        </w:rPr>
        <w:t>乙方应对其保持完好，不得毁坏相应设施，不得拆除一切附着于地面、墙壁、房顶上的固定装修装饰物。</w:t>
      </w:r>
      <w:r>
        <w:rPr>
          <w:sz w:val="28"/>
          <w:szCs w:val="28"/>
        </w:rPr>
        <w:t>(2)</w:t>
      </w:r>
      <w:r>
        <w:rPr>
          <w:rFonts w:hint="eastAsia" w:ascii="宋体" w:hAnsi="宋体" w:cs="宋体"/>
          <w:sz w:val="28"/>
          <w:szCs w:val="28"/>
        </w:rPr>
        <w:t>房屋内不得残留垃圾。</w:t>
      </w:r>
      <w:r>
        <w:rPr>
          <w:sz w:val="28"/>
          <w:szCs w:val="28"/>
        </w:rPr>
        <w:t>(3)</w:t>
      </w:r>
      <w:r>
        <w:rPr>
          <w:rFonts w:hint="eastAsia" w:ascii="宋体" w:hAnsi="宋体" w:cs="宋体"/>
          <w:sz w:val="28"/>
          <w:szCs w:val="28"/>
        </w:rPr>
        <w:t>损坏物品赔偿或修复</w:t>
      </w:r>
      <w:r>
        <w:rPr>
          <w:rFonts w:ascii="宋体" w:hAnsi="宋体" w:cs="宋体"/>
          <w:sz w:val="28"/>
          <w:szCs w:val="28"/>
        </w:rPr>
        <w:t>。</w:t>
      </w:r>
      <w:r>
        <w:rPr>
          <w:rFonts w:hint="eastAsia" w:ascii="宋体" w:hAnsi="宋体" w:cs="宋体"/>
          <w:sz w:val="28"/>
          <w:szCs w:val="28"/>
        </w:rPr>
        <w:t>逾期未按标准腾退归还房屋应按原租金3倍标准支付占用期间使用费，甲方可采取限制措施，包括但不限于停水停电、锁门等方式。乙方逾期清理物品视为遗弃物，甲方可随意处置并不承担任何赔偿责任</w:t>
      </w:r>
      <w:r>
        <w:t>。</w:t>
      </w:r>
    </w:p>
    <w:p w14:paraId="763E9E92">
      <w:pPr>
        <w:spacing w:line="360" w:lineRule="auto"/>
        <w:rPr>
          <w:b/>
          <w:sz w:val="28"/>
          <w:szCs w:val="28"/>
        </w:rPr>
      </w:pPr>
      <w:r>
        <w:rPr>
          <w:rFonts w:hint="eastAsia"/>
          <w:b/>
          <w:sz w:val="28"/>
          <w:szCs w:val="28"/>
        </w:rPr>
        <w:t>第六条、合同的解除与终止</w:t>
      </w:r>
    </w:p>
    <w:p w14:paraId="22AF112F">
      <w:pPr>
        <w:spacing w:line="360" w:lineRule="auto"/>
        <w:ind w:firstLine="560" w:firstLineChars="200"/>
        <w:rPr>
          <w:sz w:val="28"/>
          <w:szCs w:val="28"/>
        </w:rPr>
      </w:pPr>
      <w:r>
        <w:rPr>
          <w:sz w:val="28"/>
          <w:szCs w:val="28"/>
        </w:rPr>
        <w:t>1</w:t>
      </w:r>
      <w:r>
        <w:rPr>
          <w:rFonts w:hint="eastAsia"/>
          <w:sz w:val="28"/>
          <w:szCs w:val="28"/>
        </w:rPr>
        <w:t>、经双方协商一致可以</w:t>
      </w:r>
      <w:r>
        <w:rPr>
          <w:sz w:val="28"/>
          <w:szCs w:val="28"/>
        </w:rPr>
        <w:t>解除或</w:t>
      </w:r>
      <w:r>
        <w:rPr>
          <w:rFonts w:hint="eastAsia"/>
          <w:sz w:val="28"/>
          <w:szCs w:val="28"/>
        </w:rPr>
        <w:t>终止合同</w:t>
      </w:r>
      <w:r>
        <w:rPr>
          <w:sz w:val="28"/>
          <w:szCs w:val="28"/>
        </w:rPr>
        <w:t>，合同解除或终止后房屋内固定装修归甲方所有。</w:t>
      </w:r>
    </w:p>
    <w:p w14:paraId="5FC85CD0">
      <w:pPr>
        <w:spacing w:line="360" w:lineRule="auto"/>
        <w:ind w:firstLine="560" w:firstLineChars="200"/>
        <w:rPr>
          <w:sz w:val="28"/>
          <w:szCs w:val="28"/>
        </w:rPr>
      </w:pPr>
      <w:r>
        <w:rPr>
          <w:sz w:val="28"/>
          <w:szCs w:val="28"/>
        </w:rPr>
        <w:t>2</w:t>
      </w:r>
      <w:r>
        <w:rPr>
          <w:rFonts w:hint="eastAsia"/>
          <w:sz w:val="28"/>
          <w:szCs w:val="28"/>
        </w:rPr>
        <w:t>、房屋土地租赁期间，乙方有下列行为之一的，甲方有权解除合同，收回出租房屋土地：</w:t>
      </w:r>
    </w:p>
    <w:p w14:paraId="5667CB2E">
      <w:pPr>
        <w:spacing w:line="360" w:lineRule="auto"/>
        <w:ind w:firstLine="560" w:firstLineChars="200"/>
        <w:rPr>
          <w:sz w:val="28"/>
          <w:szCs w:val="28"/>
        </w:rPr>
      </w:pPr>
      <w:r>
        <w:rPr>
          <w:sz w:val="28"/>
          <w:szCs w:val="28"/>
        </w:rPr>
        <w:t>(1)</w:t>
      </w:r>
      <w:r>
        <w:rPr>
          <w:rFonts w:hint="eastAsia"/>
          <w:sz w:val="28"/>
          <w:szCs w:val="28"/>
        </w:rPr>
        <w:t>未经甲方书面同意，擅自转租、转让、转借他人；</w:t>
      </w:r>
    </w:p>
    <w:p w14:paraId="187ADBE0">
      <w:pPr>
        <w:spacing w:line="360" w:lineRule="auto"/>
        <w:ind w:firstLine="560" w:firstLineChars="200"/>
        <w:rPr>
          <w:sz w:val="28"/>
          <w:szCs w:val="28"/>
        </w:rPr>
      </w:pPr>
      <w:r>
        <w:rPr>
          <w:sz w:val="28"/>
          <w:szCs w:val="28"/>
        </w:rPr>
        <w:t>(2)</w:t>
      </w:r>
      <w:r>
        <w:rPr>
          <w:rFonts w:hint="eastAsia"/>
          <w:sz w:val="28"/>
          <w:szCs w:val="28"/>
        </w:rPr>
        <w:t>擅自拆除改变房屋土地结构和改变用途的；</w:t>
      </w:r>
    </w:p>
    <w:p w14:paraId="6810DF72">
      <w:pPr>
        <w:spacing w:line="360" w:lineRule="auto"/>
        <w:ind w:firstLine="560" w:firstLineChars="200"/>
        <w:rPr>
          <w:sz w:val="28"/>
          <w:szCs w:val="28"/>
        </w:rPr>
      </w:pPr>
      <w:r>
        <w:rPr>
          <w:sz w:val="28"/>
          <w:szCs w:val="28"/>
        </w:rPr>
        <w:t>(3)</w:t>
      </w:r>
      <w:r>
        <w:rPr>
          <w:rFonts w:hint="eastAsia"/>
          <w:sz w:val="28"/>
          <w:szCs w:val="28"/>
        </w:rPr>
        <w:t>损坏承租房屋土地，在甲方提出的合理期限内仍未修复的；</w:t>
      </w:r>
    </w:p>
    <w:p w14:paraId="67B40694">
      <w:pPr>
        <w:spacing w:line="360" w:lineRule="auto"/>
        <w:ind w:firstLine="560" w:firstLineChars="200"/>
        <w:rPr>
          <w:sz w:val="28"/>
          <w:szCs w:val="28"/>
        </w:rPr>
      </w:pPr>
      <w:r>
        <w:rPr>
          <w:sz w:val="28"/>
          <w:szCs w:val="28"/>
        </w:rPr>
        <w:t>(4)</w:t>
      </w:r>
      <w:r>
        <w:rPr>
          <w:rFonts w:hint="eastAsia"/>
          <w:sz w:val="28"/>
          <w:szCs w:val="28"/>
        </w:rPr>
        <w:t>利用承租房屋土地存放危险物品，或进行违法活动的，或因违法违规生产经营受到职能部门行政处罚后拒不改正的；</w:t>
      </w:r>
    </w:p>
    <w:p w14:paraId="0E99B05E">
      <w:pPr>
        <w:spacing w:line="360" w:lineRule="auto"/>
        <w:ind w:firstLine="560" w:firstLineChars="200"/>
        <w:rPr>
          <w:sz w:val="28"/>
          <w:szCs w:val="28"/>
        </w:rPr>
      </w:pPr>
      <w:r>
        <w:rPr>
          <w:sz w:val="28"/>
          <w:szCs w:val="28"/>
        </w:rPr>
        <w:t>(5)</w:t>
      </w:r>
      <w:r>
        <w:rPr>
          <w:rFonts w:hint="eastAsia"/>
          <w:sz w:val="28"/>
          <w:szCs w:val="28"/>
        </w:rPr>
        <w:t>逾期</w:t>
      </w:r>
      <w:r>
        <w:rPr>
          <w:sz w:val="28"/>
          <w:szCs w:val="28"/>
        </w:rPr>
        <w:t>30</w:t>
      </w:r>
      <w:r>
        <w:rPr>
          <w:rFonts w:hint="eastAsia"/>
          <w:sz w:val="28"/>
          <w:szCs w:val="28"/>
        </w:rPr>
        <w:t>天未交纳租金以及不缴纳应当由乙方承担的各项费用的。</w:t>
      </w:r>
    </w:p>
    <w:p w14:paraId="1DC20353">
      <w:pPr>
        <w:spacing w:line="360" w:lineRule="auto"/>
        <w:ind w:firstLine="560" w:firstLineChars="200"/>
        <w:rPr>
          <w:sz w:val="28"/>
          <w:szCs w:val="28"/>
        </w:rPr>
      </w:pPr>
      <w:r>
        <w:rPr>
          <w:sz w:val="28"/>
          <w:szCs w:val="28"/>
        </w:rPr>
        <w:t>3</w:t>
      </w:r>
      <w:r>
        <w:rPr>
          <w:rFonts w:hint="eastAsia"/>
          <w:sz w:val="28"/>
          <w:szCs w:val="28"/>
        </w:rPr>
        <w:t>、租赁期满合同自然终止。</w:t>
      </w:r>
    </w:p>
    <w:p w14:paraId="0CFE72F2">
      <w:pPr>
        <w:spacing w:line="360" w:lineRule="auto"/>
        <w:ind w:firstLine="560" w:firstLineChars="200"/>
        <w:rPr>
          <w:sz w:val="28"/>
          <w:szCs w:val="28"/>
        </w:rPr>
      </w:pPr>
      <w:r>
        <w:rPr>
          <w:rFonts w:hint="eastAsia"/>
          <w:sz w:val="28"/>
          <w:szCs w:val="28"/>
        </w:rPr>
        <w:t>特别约定</w:t>
      </w:r>
      <w:r>
        <w:rPr>
          <w:sz w:val="28"/>
          <w:szCs w:val="28"/>
        </w:rPr>
        <w:t>:</w:t>
      </w:r>
      <w:r>
        <w:rPr>
          <w:rFonts w:hint="eastAsia"/>
          <w:sz w:val="28"/>
          <w:szCs w:val="28"/>
        </w:rPr>
        <w:t>租赁期限届满，合同自然终止，甲方有权收回房屋土地，乙方应如期归还。房屋土地若继续出租的，甲方按照有关规定，进行新的审批招租手续，重新确定承租人。乙方若要继续承租的，应根据相关规定重新竞拍，在同等条件下，享有优先承租权，但双方必须重新签订租赁合同。如乙方不参加竞拍造成流标的、或有违约行为的，丧失优先承租权。</w:t>
      </w:r>
    </w:p>
    <w:p w14:paraId="6F072763">
      <w:pPr>
        <w:spacing w:line="360" w:lineRule="auto"/>
        <w:rPr>
          <w:b/>
          <w:sz w:val="28"/>
          <w:szCs w:val="28"/>
        </w:rPr>
      </w:pPr>
      <w:r>
        <w:rPr>
          <w:rFonts w:hint="eastAsia"/>
          <w:b/>
          <w:sz w:val="28"/>
          <w:szCs w:val="28"/>
        </w:rPr>
        <w:t>第七条、房屋土地交还验收</w:t>
      </w:r>
    </w:p>
    <w:p w14:paraId="7212615D">
      <w:pPr>
        <w:spacing w:line="360" w:lineRule="auto"/>
        <w:ind w:firstLine="560" w:firstLineChars="200"/>
        <w:rPr>
          <w:sz w:val="28"/>
          <w:szCs w:val="28"/>
        </w:rPr>
      </w:pPr>
      <w:r>
        <w:rPr>
          <w:rFonts w:hint="eastAsia"/>
          <w:sz w:val="28"/>
          <w:szCs w:val="28"/>
        </w:rPr>
        <w:t>租期届满，乙方不再续租或甲方不再出租的，乙方应在合同到期后</w:t>
      </w:r>
      <w:r>
        <w:rPr>
          <w:sz w:val="28"/>
          <w:szCs w:val="28"/>
          <w:u w:val="single"/>
        </w:rPr>
        <w:t>7</w:t>
      </w:r>
      <w:r>
        <w:rPr>
          <w:rFonts w:hint="eastAsia"/>
          <w:sz w:val="28"/>
          <w:szCs w:val="28"/>
        </w:rPr>
        <w:t>日内向甲方交还房屋土地，交还时由双方共同参与进行验收。乙方将承租房屋土地及附属设施以及相关的钥匙等完好地交还甲方。甲方如对装修、器物等硬件设施、附属设施有异议的当场提出，如涉及设施设备损坏可要求乙方修复，如乙方不肯修复甲方有权在乙方履约保证金中按修复或重置价扣除。</w:t>
      </w:r>
    </w:p>
    <w:p w14:paraId="53E410E1">
      <w:pPr>
        <w:spacing w:line="360" w:lineRule="auto"/>
        <w:rPr>
          <w:b/>
          <w:sz w:val="28"/>
          <w:szCs w:val="28"/>
        </w:rPr>
      </w:pPr>
      <w:r>
        <w:rPr>
          <w:rFonts w:hint="eastAsia"/>
          <w:b/>
          <w:sz w:val="28"/>
          <w:szCs w:val="28"/>
        </w:rPr>
        <w:t>第八条、违约责任</w:t>
      </w:r>
    </w:p>
    <w:p w14:paraId="57D87D92">
      <w:pPr>
        <w:spacing w:line="360" w:lineRule="auto"/>
        <w:ind w:firstLine="560" w:firstLineChars="200"/>
        <w:rPr>
          <w:sz w:val="28"/>
          <w:szCs w:val="28"/>
        </w:rPr>
      </w:pPr>
      <w:r>
        <w:rPr>
          <w:sz w:val="28"/>
          <w:szCs w:val="28"/>
        </w:rPr>
        <w:t>1</w:t>
      </w:r>
      <w:r>
        <w:rPr>
          <w:rFonts w:hint="eastAsia"/>
          <w:sz w:val="28"/>
          <w:szCs w:val="28"/>
        </w:rPr>
        <w:t>、租赁期间，乙方有本合同第六条第</w:t>
      </w:r>
      <w:r>
        <w:rPr>
          <w:sz w:val="28"/>
          <w:szCs w:val="28"/>
        </w:rPr>
        <w:t>2</w:t>
      </w:r>
      <w:r>
        <w:rPr>
          <w:rFonts w:hint="eastAsia"/>
          <w:sz w:val="28"/>
          <w:szCs w:val="28"/>
        </w:rPr>
        <w:t>项行为之一的，甲方有权解除合同，收回出租的房屋土地，已收取房租不予退还，并可将乙方履约保证金作为违约金予以没收</w:t>
      </w:r>
      <w:r>
        <w:rPr>
          <w:sz w:val="28"/>
          <w:szCs w:val="28"/>
        </w:rPr>
        <w:t>。</w:t>
      </w:r>
    </w:p>
    <w:p w14:paraId="7C777971">
      <w:pPr>
        <w:spacing w:line="360" w:lineRule="auto"/>
        <w:ind w:firstLine="560" w:firstLineChars="200"/>
        <w:rPr>
          <w:sz w:val="28"/>
          <w:szCs w:val="28"/>
          <w:u w:val="single"/>
        </w:rPr>
      </w:pPr>
      <w:r>
        <w:rPr>
          <w:sz w:val="28"/>
          <w:szCs w:val="28"/>
        </w:rPr>
        <w:t>2</w:t>
      </w:r>
      <w:r>
        <w:rPr>
          <w:rFonts w:hint="eastAsia"/>
          <w:sz w:val="28"/>
          <w:szCs w:val="28"/>
        </w:rPr>
        <w:t>、租赁期间，乙方未经甲方书面同意中途擅自退租的，按乙方违约处理，甲方有权解除合同，收回出租的房屋</w:t>
      </w:r>
      <w:r>
        <w:rPr>
          <w:sz w:val="28"/>
          <w:szCs w:val="28"/>
        </w:rPr>
        <w:t>、</w:t>
      </w:r>
      <w:r>
        <w:rPr>
          <w:rFonts w:hint="eastAsia"/>
          <w:sz w:val="28"/>
          <w:szCs w:val="28"/>
        </w:rPr>
        <w:t>土地，并将乙方履约保证金作为违约金予以没收，已收取的租金不予退还。</w:t>
      </w:r>
    </w:p>
    <w:p w14:paraId="28B317BB">
      <w:pPr>
        <w:spacing w:line="360" w:lineRule="auto"/>
        <w:ind w:firstLine="560" w:firstLineChars="200"/>
        <w:rPr>
          <w:sz w:val="28"/>
          <w:szCs w:val="28"/>
        </w:rPr>
      </w:pPr>
      <w:r>
        <w:rPr>
          <w:sz w:val="28"/>
          <w:szCs w:val="28"/>
        </w:rPr>
        <w:t>3</w:t>
      </w:r>
      <w:r>
        <w:rPr>
          <w:rFonts w:hint="eastAsia"/>
          <w:sz w:val="28"/>
          <w:szCs w:val="28"/>
        </w:rPr>
        <w:t>、在租赁期间或者租赁期满，乙方违反本合同第五条第</w:t>
      </w:r>
      <w:r>
        <w:rPr>
          <w:sz w:val="28"/>
          <w:szCs w:val="28"/>
        </w:rPr>
        <w:t>7</w:t>
      </w:r>
      <w:r>
        <w:rPr>
          <w:rFonts w:hint="eastAsia"/>
          <w:sz w:val="28"/>
          <w:szCs w:val="28"/>
        </w:rPr>
        <w:t>项规定，如乙方在收到甲方搬迁通知书后未按期腾退，甲方有权对乙方装修投入部分不作任何补偿，不退还合同约定的履约保证金，对于延迟腾退期间的房屋土地租金按日以原租金</w:t>
      </w:r>
      <w:r>
        <w:rPr>
          <w:sz w:val="28"/>
          <w:szCs w:val="28"/>
        </w:rPr>
        <w:t>3</w:t>
      </w:r>
      <w:r>
        <w:rPr>
          <w:rFonts w:hint="eastAsia"/>
          <w:sz w:val="28"/>
          <w:szCs w:val="28"/>
        </w:rPr>
        <w:t>倍标准计算。</w:t>
      </w:r>
    </w:p>
    <w:p w14:paraId="21ADDDA2">
      <w:pPr>
        <w:spacing w:line="360" w:lineRule="auto"/>
        <w:ind w:firstLine="560" w:firstLineChars="200"/>
        <w:rPr>
          <w:sz w:val="28"/>
          <w:szCs w:val="28"/>
        </w:rPr>
      </w:pPr>
      <w:r>
        <w:rPr>
          <w:sz w:val="28"/>
          <w:szCs w:val="28"/>
        </w:rPr>
        <w:t>4</w:t>
      </w:r>
      <w:r>
        <w:rPr>
          <w:rFonts w:hint="eastAsia"/>
          <w:sz w:val="28"/>
          <w:szCs w:val="28"/>
        </w:rPr>
        <w:t>、</w:t>
      </w:r>
      <w:r>
        <w:rPr>
          <w:sz w:val="28"/>
          <w:szCs w:val="28"/>
        </w:rPr>
        <w:t>租赁合同解除、终止</w:t>
      </w:r>
      <w:r>
        <w:rPr>
          <w:rFonts w:hint="eastAsia"/>
          <w:sz w:val="28"/>
          <w:szCs w:val="28"/>
        </w:rPr>
        <w:t>、租期届满，违反本合同第七条规定，乙方逾期</w:t>
      </w:r>
      <w:r>
        <w:rPr>
          <w:sz w:val="28"/>
          <w:szCs w:val="28"/>
        </w:rPr>
        <w:t>腾退归还房屋</w:t>
      </w:r>
      <w:r>
        <w:rPr>
          <w:rFonts w:hint="eastAsia"/>
          <w:sz w:val="28"/>
          <w:szCs w:val="28"/>
        </w:rPr>
        <w:t>，并在甲方向乙方发送限期搬迁通知书后，仍未按期腾退的，除按照每逾期一日向甲方支付原租金</w:t>
      </w:r>
      <w:r>
        <w:rPr>
          <w:sz w:val="28"/>
          <w:szCs w:val="28"/>
        </w:rPr>
        <w:t>3</w:t>
      </w:r>
      <w:r>
        <w:rPr>
          <w:rFonts w:hint="eastAsia"/>
          <w:sz w:val="28"/>
          <w:szCs w:val="28"/>
        </w:rPr>
        <w:t>倍的价格外，甲方有权</w:t>
      </w:r>
      <w:r>
        <w:rPr>
          <w:sz w:val="28"/>
          <w:szCs w:val="28"/>
        </w:rPr>
        <w:t>将</w:t>
      </w:r>
      <w:r>
        <w:rPr>
          <w:rFonts w:hint="eastAsia"/>
          <w:sz w:val="28"/>
          <w:szCs w:val="28"/>
        </w:rPr>
        <w:t>乙方履约保证</w:t>
      </w:r>
      <w:r>
        <w:rPr>
          <w:sz w:val="28"/>
          <w:szCs w:val="28"/>
        </w:rPr>
        <w:t>作为</w:t>
      </w:r>
      <w:r>
        <w:rPr>
          <w:rFonts w:hint="eastAsia"/>
          <w:sz w:val="28"/>
          <w:szCs w:val="28"/>
        </w:rPr>
        <w:t>违约</w:t>
      </w:r>
      <w:r>
        <w:rPr>
          <w:sz w:val="28"/>
          <w:szCs w:val="28"/>
        </w:rPr>
        <w:t>金</w:t>
      </w:r>
      <w:r>
        <w:rPr>
          <w:rFonts w:hint="eastAsia"/>
          <w:sz w:val="28"/>
          <w:szCs w:val="28"/>
        </w:rPr>
        <w:t>予以没收；但租期届满，乙方参加甲方举行的招租活动，并投有效标却未能竞得租赁权的，甲方可给予乙方</w:t>
      </w:r>
      <w:r>
        <w:rPr>
          <w:sz w:val="28"/>
          <w:szCs w:val="28"/>
        </w:rPr>
        <w:t>30</w:t>
      </w:r>
      <w:r>
        <w:rPr>
          <w:rFonts w:hint="eastAsia"/>
          <w:sz w:val="28"/>
          <w:szCs w:val="28"/>
        </w:rPr>
        <w:t>天搬迁期，租金按原租金支付。但乙方逾期</w:t>
      </w:r>
      <w:r>
        <w:rPr>
          <w:sz w:val="28"/>
          <w:szCs w:val="28"/>
        </w:rPr>
        <w:t>30</w:t>
      </w:r>
      <w:r>
        <w:rPr>
          <w:rFonts w:hint="eastAsia"/>
          <w:sz w:val="28"/>
          <w:szCs w:val="28"/>
        </w:rPr>
        <w:t>日及以上归还房屋土地的，除按照每逾期一日向甲方支付原租金</w:t>
      </w:r>
      <w:r>
        <w:rPr>
          <w:sz w:val="28"/>
          <w:szCs w:val="28"/>
        </w:rPr>
        <w:t>3</w:t>
      </w:r>
      <w:r>
        <w:rPr>
          <w:rFonts w:hint="eastAsia"/>
          <w:sz w:val="28"/>
          <w:szCs w:val="28"/>
        </w:rPr>
        <w:t>倍的价格外，甲方有权</w:t>
      </w:r>
      <w:r>
        <w:rPr>
          <w:sz w:val="28"/>
          <w:szCs w:val="28"/>
        </w:rPr>
        <w:t>将</w:t>
      </w:r>
      <w:r>
        <w:rPr>
          <w:rFonts w:hint="eastAsia"/>
          <w:sz w:val="28"/>
          <w:szCs w:val="28"/>
        </w:rPr>
        <w:t>乙方履约保证</w:t>
      </w:r>
      <w:r>
        <w:rPr>
          <w:sz w:val="28"/>
          <w:szCs w:val="28"/>
        </w:rPr>
        <w:t>作为</w:t>
      </w:r>
      <w:r>
        <w:rPr>
          <w:rFonts w:hint="eastAsia"/>
          <w:sz w:val="28"/>
          <w:szCs w:val="28"/>
        </w:rPr>
        <w:t>违约</w:t>
      </w:r>
      <w:r>
        <w:rPr>
          <w:sz w:val="28"/>
          <w:szCs w:val="28"/>
        </w:rPr>
        <w:t>金</w:t>
      </w:r>
      <w:r>
        <w:rPr>
          <w:rFonts w:hint="eastAsia"/>
          <w:sz w:val="28"/>
          <w:szCs w:val="28"/>
        </w:rPr>
        <w:t>予以没收。</w:t>
      </w:r>
    </w:p>
    <w:p w14:paraId="57D56F22">
      <w:pPr>
        <w:spacing w:line="360" w:lineRule="auto"/>
        <w:rPr>
          <w:b/>
          <w:sz w:val="28"/>
          <w:szCs w:val="28"/>
        </w:rPr>
      </w:pPr>
      <w:r>
        <w:rPr>
          <w:rFonts w:hint="eastAsia"/>
          <w:b/>
          <w:sz w:val="28"/>
          <w:szCs w:val="28"/>
        </w:rPr>
        <w:t>第九条、免责条件</w:t>
      </w:r>
    </w:p>
    <w:p w14:paraId="1EB63AC1">
      <w:pPr>
        <w:spacing w:line="360" w:lineRule="auto"/>
        <w:ind w:firstLine="560" w:firstLineChars="200"/>
        <w:rPr>
          <w:sz w:val="28"/>
          <w:szCs w:val="28"/>
        </w:rPr>
      </w:pPr>
      <w:r>
        <w:rPr>
          <w:sz w:val="28"/>
          <w:szCs w:val="28"/>
        </w:rPr>
        <w:t>1</w:t>
      </w:r>
      <w:r>
        <w:rPr>
          <w:rFonts w:hint="eastAsia"/>
          <w:sz w:val="28"/>
          <w:szCs w:val="28"/>
        </w:rPr>
        <w:t>、因不可抗力原因造成的损失或致使本合同不能继续履行，甲乙双方互不承担责任。</w:t>
      </w:r>
    </w:p>
    <w:p w14:paraId="35FBA34A">
      <w:pPr>
        <w:spacing w:line="360" w:lineRule="auto"/>
        <w:ind w:firstLine="560" w:firstLineChars="200"/>
        <w:rPr>
          <w:sz w:val="28"/>
          <w:szCs w:val="28"/>
        </w:rPr>
      </w:pPr>
      <w:r>
        <w:rPr>
          <w:sz w:val="28"/>
          <w:szCs w:val="28"/>
        </w:rPr>
        <w:t>2</w:t>
      </w:r>
      <w:r>
        <w:rPr>
          <w:rFonts w:hint="eastAsia"/>
          <w:sz w:val="28"/>
          <w:szCs w:val="28"/>
        </w:rPr>
        <w:t>、因政府拆迁需要致使本合同无法履行的，甲、乙双方互不负违约责任。</w:t>
      </w:r>
    </w:p>
    <w:p w14:paraId="10B335F1">
      <w:pPr>
        <w:spacing w:line="360" w:lineRule="auto"/>
        <w:ind w:firstLine="560" w:firstLineChars="200"/>
        <w:rPr>
          <w:sz w:val="28"/>
          <w:szCs w:val="28"/>
        </w:rPr>
      </w:pPr>
      <w:r>
        <w:rPr>
          <w:sz w:val="28"/>
          <w:szCs w:val="28"/>
        </w:rPr>
        <w:t>3</w:t>
      </w:r>
      <w:r>
        <w:rPr>
          <w:rFonts w:hint="eastAsia"/>
          <w:sz w:val="28"/>
          <w:szCs w:val="28"/>
        </w:rPr>
        <w:t>、因上述第</w:t>
      </w:r>
      <w:r>
        <w:rPr>
          <w:sz w:val="28"/>
          <w:szCs w:val="28"/>
        </w:rPr>
        <w:t>1</w:t>
      </w:r>
      <w:r>
        <w:rPr>
          <w:rFonts w:hint="eastAsia"/>
          <w:sz w:val="28"/>
          <w:szCs w:val="28"/>
        </w:rPr>
        <w:t>、</w:t>
      </w:r>
      <w:r>
        <w:rPr>
          <w:sz w:val="28"/>
          <w:szCs w:val="28"/>
        </w:rPr>
        <w:t>2</w:t>
      </w:r>
      <w:r>
        <w:rPr>
          <w:rFonts w:hint="eastAsia"/>
          <w:sz w:val="28"/>
          <w:szCs w:val="28"/>
        </w:rPr>
        <w:t>项原因而终止合同的，租金按照实际使用的时间计算，不足整月的按天数计算，多退少补。</w:t>
      </w:r>
    </w:p>
    <w:p w14:paraId="0F679080">
      <w:pPr>
        <w:spacing w:line="360" w:lineRule="auto"/>
        <w:ind w:firstLine="560" w:firstLineChars="200"/>
        <w:rPr>
          <w:sz w:val="28"/>
          <w:szCs w:val="28"/>
        </w:rPr>
      </w:pPr>
      <w:r>
        <w:rPr>
          <w:sz w:val="28"/>
          <w:szCs w:val="28"/>
        </w:rPr>
        <w:t>4</w:t>
      </w:r>
      <w:r>
        <w:rPr>
          <w:rFonts w:hint="eastAsia"/>
          <w:sz w:val="28"/>
          <w:szCs w:val="28"/>
        </w:rPr>
        <w:t>、不可抗力系指“不能预见，不能避免、不能克服的客观情况。</w:t>
      </w:r>
    </w:p>
    <w:p w14:paraId="011ACEDD">
      <w:pPr>
        <w:spacing w:line="360" w:lineRule="auto"/>
        <w:rPr>
          <w:sz w:val="28"/>
          <w:szCs w:val="28"/>
        </w:rPr>
      </w:pPr>
      <w:r>
        <w:rPr>
          <w:rFonts w:hint="eastAsia"/>
          <w:b/>
          <w:sz w:val="28"/>
          <w:szCs w:val="28"/>
        </w:rPr>
        <w:t>第十条、争议解决</w:t>
      </w:r>
    </w:p>
    <w:p w14:paraId="01C73C6C">
      <w:pPr>
        <w:spacing w:line="360" w:lineRule="auto"/>
        <w:ind w:firstLine="560" w:firstLineChars="200"/>
        <w:rPr>
          <w:sz w:val="28"/>
          <w:szCs w:val="28"/>
        </w:rPr>
      </w:pPr>
      <w:r>
        <w:rPr>
          <w:rFonts w:hint="eastAsia"/>
          <w:sz w:val="28"/>
          <w:szCs w:val="28"/>
        </w:rPr>
        <w:t>本合同在履行过程中如发生争议，双方应协商解决；协商不成时，由镇海区人民法院诉讼管辖。</w:t>
      </w:r>
    </w:p>
    <w:p w14:paraId="3CCD4827">
      <w:pPr>
        <w:spacing w:line="360" w:lineRule="auto"/>
        <w:rPr>
          <w:b/>
          <w:sz w:val="28"/>
          <w:szCs w:val="28"/>
        </w:rPr>
      </w:pPr>
      <w:r>
        <w:rPr>
          <w:rFonts w:hint="eastAsia"/>
          <w:b/>
          <w:sz w:val="28"/>
          <w:szCs w:val="28"/>
        </w:rPr>
        <w:t>第十一条、其他约定事项</w:t>
      </w:r>
    </w:p>
    <w:p w14:paraId="1DE43590">
      <w:pPr>
        <w:spacing w:line="360" w:lineRule="auto"/>
        <w:ind w:firstLine="548" w:firstLineChars="196"/>
        <w:rPr>
          <w:b/>
          <w:sz w:val="28"/>
          <w:szCs w:val="28"/>
        </w:rPr>
      </w:pPr>
      <w:r>
        <w:rPr>
          <w:sz w:val="28"/>
          <w:szCs w:val="28"/>
        </w:rPr>
        <w:t>1</w:t>
      </w:r>
      <w:r>
        <w:rPr>
          <w:rFonts w:hint="eastAsia"/>
          <w:sz w:val="28"/>
          <w:szCs w:val="28"/>
        </w:rPr>
        <w:t>、本合同未尽事项，由双方协商解决并订立补充条款，由双方签字盖章后生效。补充条款及附件均为本合同组成部分，与本合同具有同等法律效力。</w:t>
      </w:r>
    </w:p>
    <w:p w14:paraId="1D5CDFB0">
      <w:pPr>
        <w:spacing w:line="360" w:lineRule="auto"/>
        <w:ind w:firstLine="560" w:firstLineChars="200"/>
        <w:rPr>
          <w:sz w:val="28"/>
          <w:szCs w:val="28"/>
        </w:rPr>
      </w:pPr>
      <w:r>
        <w:rPr>
          <w:sz w:val="28"/>
          <w:szCs w:val="28"/>
        </w:rPr>
        <w:t>2</w:t>
      </w:r>
      <w:r>
        <w:rPr>
          <w:rFonts w:hint="eastAsia"/>
          <w:sz w:val="28"/>
          <w:szCs w:val="28"/>
        </w:rPr>
        <w:t>、乙方的生产经营活动应符合城市管理、环境保护、市场监督、安全生产等相关部门的规定，产生的噪音、废水、废气等按规定进行妥善处理，不得影响附近居民和单位的正常工作、生活。如因乙方原因，给附近居民和单位造成不良影响，如违章搭建、向相关部门有效投诉3次、收到城管处罚且被建议解除租赁合同的，甲方有权终止合同，收回房屋土地。由此造成的一切责任和损失由乙方承担。</w:t>
      </w:r>
    </w:p>
    <w:p w14:paraId="546C9B38">
      <w:pPr>
        <w:spacing w:line="360" w:lineRule="auto"/>
        <w:ind w:firstLine="560" w:firstLineChars="200"/>
        <w:rPr>
          <w:sz w:val="28"/>
          <w:szCs w:val="28"/>
        </w:rPr>
      </w:pPr>
      <w:r>
        <w:rPr>
          <w:rFonts w:hint="eastAsia"/>
          <w:sz w:val="28"/>
          <w:szCs w:val="28"/>
        </w:rPr>
        <w:t>3、甲、乙双方约定以下通信地址为双方通知或文件的送达地址：</w:t>
      </w:r>
    </w:p>
    <w:p w14:paraId="7D6CB4E6">
      <w:pPr>
        <w:spacing w:line="360" w:lineRule="auto"/>
        <w:rPr>
          <w:sz w:val="28"/>
          <w:szCs w:val="28"/>
        </w:rPr>
      </w:pPr>
      <w:r>
        <w:rPr>
          <w:rFonts w:hint="eastAsia"/>
          <w:sz w:val="28"/>
          <w:szCs w:val="28"/>
        </w:rPr>
        <w:t>甲方送达地址：        </w:t>
      </w:r>
      <w:r>
        <w:rPr>
          <w:rFonts w:hint="eastAsia"/>
          <w:sz w:val="28"/>
          <w:szCs w:val="28"/>
          <w:lang w:val="en-US" w:eastAsia="zh-CN"/>
        </w:rPr>
        <w:t xml:space="preserve">    </w:t>
      </w:r>
      <w:r>
        <w:rPr>
          <w:rFonts w:hint="eastAsia"/>
          <w:sz w:val="28"/>
          <w:szCs w:val="28"/>
        </w:rPr>
        <w:t xml:space="preserve">  联系人：     </w:t>
      </w:r>
      <w:r>
        <w:rPr>
          <w:rFonts w:hint="eastAsia"/>
          <w:sz w:val="28"/>
          <w:szCs w:val="28"/>
          <w:lang w:val="en-US" w:eastAsia="zh-CN"/>
        </w:rPr>
        <w:t xml:space="preserve">  </w:t>
      </w:r>
      <w:r>
        <w:rPr>
          <w:rFonts w:hint="eastAsia"/>
          <w:sz w:val="28"/>
          <w:szCs w:val="28"/>
        </w:rPr>
        <w:t xml:space="preserve">电话：          </w:t>
      </w:r>
    </w:p>
    <w:p w14:paraId="21AEF258">
      <w:pPr>
        <w:spacing w:line="360" w:lineRule="auto"/>
        <w:rPr>
          <w:sz w:val="28"/>
          <w:szCs w:val="28"/>
        </w:rPr>
      </w:pPr>
      <w:r>
        <w:rPr>
          <w:rFonts w:hint="eastAsia"/>
          <w:sz w:val="28"/>
          <w:szCs w:val="28"/>
        </w:rPr>
        <w:t>乙方送达地址：          </w:t>
      </w:r>
      <w:r>
        <w:rPr>
          <w:rFonts w:hint="eastAsia"/>
          <w:sz w:val="28"/>
          <w:szCs w:val="28"/>
          <w:lang w:val="en-US" w:eastAsia="zh-CN"/>
        </w:rPr>
        <w:t xml:space="preserve">   </w:t>
      </w:r>
      <w:r>
        <w:rPr>
          <w:rFonts w:hint="eastAsia"/>
          <w:sz w:val="28"/>
          <w:szCs w:val="28"/>
        </w:rPr>
        <w:t xml:space="preserve"> 联系人：     </w:t>
      </w:r>
      <w:r>
        <w:rPr>
          <w:rFonts w:hint="eastAsia"/>
          <w:sz w:val="28"/>
          <w:szCs w:val="28"/>
          <w:lang w:val="en-US" w:eastAsia="zh-CN"/>
        </w:rPr>
        <w:t xml:space="preserve">  </w:t>
      </w:r>
      <w:r>
        <w:rPr>
          <w:rFonts w:hint="eastAsia"/>
          <w:sz w:val="28"/>
          <w:szCs w:val="28"/>
        </w:rPr>
        <w:t xml:space="preserve">电话：           </w:t>
      </w:r>
    </w:p>
    <w:p w14:paraId="79CD5FA5">
      <w:pPr>
        <w:spacing w:line="360" w:lineRule="auto"/>
        <w:ind w:firstLine="560" w:firstLineChars="200"/>
        <w:rPr>
          <w:sz w:val="28"/>
          <w:szCs w:val="28"/>
        </w:rPr>
      </w:pPr>
      <w:r>
        <w:rPr>
          <w:rFonts w:hint="eastAsia"/>
          <w:sz w:val="28"/>
          <w:szCs w:val="28"/>
        </w:rPr>
        <w:t>双方该送达地址适用范围包括合同发生纠纷时相关文件和法律文书的送达，同时包括仲裁、民事诉讼程序后的一审、二审、再审和执行程序。</w:t>
      </w:r>
    </w:p>
    <w:p w14:paraId="2224EC1F">
      <w:pPr>
        <w:spacing w:line="360" w:lineRule="auto"/>
        <w:ind w:firstLine="560" w:firstLineChars="200"/>
        <w:rPr>
          <w:sz w:val="28"/>
          <w:szCs w:val="28"/>
        </w:rPr>
      </w:pPr>
      <w:r>
        <w:rPr>
          <w:rFonts w:hint="eastAsia"/>
          <w:sz w:val="28"/>
          <w:szCs w:val="28"/>
        </w:rPr>
        <w:t>送达地址未经书面变更通知，一直有效。一方给另一方的通知或文件按送达地址邮寄视为送达。如按上述地址邮寄文件被邮政部门退回的，退回之日视为送达之日。</w:t>
      </w:r>
    </w:p>
    <w:p w14:paraId="5EA9399A">
      <w:pPr>
        <w:spacing w:line="360" w:lineRule="auto"/>
        <w:rPr>
          <w:sz w:val="28"/>
          <w:szCs w:val="28"/>
        </w:rPr>
      </w:pPr>
      <w:r>
        <w:rPr>
          <w:rFonts w:hint="eastAsia"/>
          <w:b/>
          <w:bCs/>
          <w:sz w:val="28"/>
          <w:szCs w:val="28"/>
        </w:rPr>
        <w:t>第十二条、</w:t>
      </w:r>
      <w:r>
        <w:rPr>
          <w:rFonts w:hint="eastAsia"/>
          <w:sz w:val="28"/>
          <w:szCs w:val="28"/>
        </w:rPr>
        <w:t>本合同自甲、乙双方签字盖章后生效。本合同一式肆份，甲乙双方各执贰份。</w:t>
      </w:r>
    </w:p>
    <w:p w14:paraId="31775683">
      <w:pPr>
        <w:spacing w:line="360" w:lineRule="auto"/>
        <w:rPr>
          <w:sz w:val="28"/>
          <w:szCs w:val="28"/>
        </w:rPr>
      </w:pPr>
      <w:r>
        <w:rPr>
          <w:rFonts w:hint="eastAsia"/>
          <w:sz w:val="28"/>
          <w:szCs w:val="28"/>
        </w:rPr>
        <w:t>甲方：</w:t>
      </w:r>
      <w:r>
        <w:rPr>
          <w:sz w:val="28"/>
          <w:szCs w:val="28"/>
        </w:rPr>
        <w:t xml:space="preserve">         </w:t>
      </w:r>
      <w:r>
        <w:rPr>
          <w:rFonts w:hint="eastAsia"/>
          <w:sz w:val="28"/>
          <w:szCs w:val="28"/>
        </w:rPr>
        <w:t xml:space="preserve">                    </w:t>
      </w:r>
      <w:r>
        <w:rPr>
          <w:sz w:val="28"/>
          <w:szCs w:val="28"/>
        </w:rPr>
        <w:t xml:space="preserve">  </w:t>
      </w:r>
      <w:r>
        <w:rPr>
          <w:rFonts w:hint="eastAsia"/>
          <w:sz w:val="28"/>
          <w:szCs w:val="28"/>
        </w:rPr>
        <w:t>乙方：</w:t>
      </w:r>
    </w:p>
    <w:p w14:paraId="3B99FA0C">
      <w:pPr>
        <w:spacing w:line="360" w:lineRule="auto"/>
        <w:rPr>
          <w:sz w:val="28"/>
          <w:szCs w:val="28"/>
        </w:rPr>
      </w:pPr>
      <w:r>
        <w:rPr>
          <w:rFonts w:hint="eastAsia"/>
          <w:sz w:val="28"/>
          <w:szCs w:val="28"/>
        </w:rPr>
        <w:t>负责人</w:t>
      </w:r>
      <w:r>
        <w:rPr>
          <w:sz w:val="28"/>
          <w:szCs w:val="28"/>
        </w:rPr>
        <w:t>(</w:t>
      </w:r>
      <w:r>
        <w:rPr>
          <w:rFonts w:hint="eastAsia"/>
          <w:sz w:val="28"/>
          <w:szCs w:val="28"/>
        </w:rPr>
        <w:t>签字</w:t>
      </w:r>
      <w:r>
        <w:rPr>
          <w:sz w:val="28"/>
          <w:szCs w:val="28"/>
        </w:rPr>
        <w:t>)</w:t>
      </w:r>
      <w:r>
        <w:rPr>
          <w:rFonts w:hint="eastAsia"/>
          <w:sz w:val="28"/>
          <w:szCs w:val="28"/>
        </w:rPr>
        <w:t>：</w:t>
      </w:r>
      <w:r>
        <w:rPr>
          <w:sz w:val="28"/>
          <w:szCs w:val="28"/>
        </w:rPr>
        <w:t xml:space="preserve">                        </w:t>
      </w:r>
      <w:r>
        <w:rPr>
          <w:rFonts w:hint="eastAsia"/>
          <w:sz w:val="28"/>
          <w:szCs w:val="28"/>
        </w:rPr>
        <w:t>负责人</w:t>
      </w:r>
      <w:r>
        <w:rPr>
          <w:sz w:val="28"/>
          <w:szCs w:val="28"/>
        </w:rPr>
        <w:t>(</w:t>
      </w:r>
      <w:r>
        <w:rPr>
          <w:rFonts w:hint="eastAsia"/>
          <w:sz w:val="28"/>
          <w:szCs w:val="28"/>
        </w:rPr>
        <w:t>签字</w:t>
      </w:r>
      <w:r>
        <w:rPr>
          <w:sz w:val="28"/>
          <w:szCs w:val="28"/>
        </w:rPr>
        <w:t>)</w:t>
      </w:r>
      <w:r>
        <w:rPr>
          <w:rFonts w:hint="eastAsia"/>
          <w:sz w:val="28"/>
          <w:szCs w:val="28"/>
        </w:rPr>
        <w:t>：</w:t>
      </w:r>
    </w:p>
    <w:p w14:paraId="27EAC2BA">
      <w:pPr>
        <w:spacing w:line="360" w:lineRule="auto"/>
        <w:rPr>
          <w:sz w:val="28"/>
          <w:szCs w:val="28"/>
        </w:rPr>
      </w:pPr>
      <w:r>
        <w:rPr>
          <w:sz w:val="28"/>
          <w:szCs w:val="28"/>
        </w:rPr>
        <w:t xml:space="preserve">                          </w:t>
      </w:r>
    </w:p>
    <w:p w14:paraId="5415185A">
      <w:pPr>
        <w:spacing w:line="360" w:lineRule="auto"/>
        <w:jc w:val="center"/>
        <w:rPr>
          <w:sz w:val="28"/>
          <w:szCs w:val="28"/>
        </w:rPr>
      </w:pPr>
      <w:r>
        <w:rPr>
          <w:rFonts w:hint="eastAsia"/>
          <w:sz w:val="28"/>
          <w:szCs w:val="28"/>
        </w:rPr>
        <w:t>合同订立时间：</w:t>
      </w:r>
      <w:r>
        <w:rPr>
          <w:sz w:val="28"/>
          <w:szCs w:val="28"/>
        </w:rPr>
        <w:t>20</w:t>
      </w:r>
      <w:r>
        <w:rPr>
          <w:rFonts w:hint="eastAsia"/>
          <w:sz w:val="28"/>
          <w:szCs w:val="28"/>
        </w:rPr>
        <w:t>2</w:t>
      </w:r>
      <w:r>
        <w:rPr>
          <w:rFonts w:hint="eastAsia"/>
          <w:sz w:val="28"/>
          <w:szCs w:val="28"/>
          <w:lang w:val="en-US" w:eastAsia="zh-CN"/>
        </w:rPr>
        <w:t>4</w:t>
      </w:r>
      <w:r>
        <w:rPr>
          <w:sz w:val="28"/>
          <w:szCs w:val="28"/>
        </w:rPr>
        <w:t xml:space="preserve"> </w:t>
      </w:r>
      <w:r>
        <w:rPr>
          <w:rFonts w:hint="eastAsia"/>
          <w:sz w:val="28"/>
          <w:szCs w:val="28"/>
        </w:rPr>
        <w:t>年  月  日</w:t>
      </w:r>
    </w:p>
    <w:p w14:paraId="707DC5F3"/>
    <w:p w14:paraId="2363A3E2"/>
    <w:p w14:paraId="3BD24256">
      <w:pPr>
        <w:pStyle w:val="6"/>
        <w:widowControl/>
        <w:spacing w:beforeAutospacing="0" w:afterAutospacing="0" w:line="500" w:lineRule="exact"/>
        <w:ind w:firstLine="480"/>
        <w:rPr>
          <w:rFonts w:hint="eastAsia" w:cs="宋体" w:asciiTheme="majorEastAsia" w:hAnsiTheme="majorEastAsia" w:eastAsiaTheme="majorEastAsia"/>
          <w:color w:val="000000"/>
          <w:lang w:eastAsia="zh-CN"/>
        </w:rPr>
      </w:pPr>
    </w:p>
    <w:p w14:paraId="2E1D3AAD">
      <w:pPr>
        <w:pStyle w:val="6"/>
        <w:widowControl/>
        <w:spacing w:beforeAutospacing="0" w:afterAutospacing="0" w:line="500" w:lineRule="exact"/>
        <w:ind w:firstLine="480"/>
        <w:rPr>
          <w:rFonts w:hint="eastAsia" w:cs="宋体" w:asciiTheme="majorEastAsia" w:hAnsiTheme="majorEastAsia" w:eastAsiaTheme="majorEastAsia"/>
          <w:color w:val="000000"/>
          <w:lang w:eastAsia="zh-CN"/>
        </w:rPr>
      </w:pPr>
    </w:p>
    <w:p w14:paraId="294B47B3">
      <w:pPr>
        <w:pStyle w:val="6"/>
        <w:widowControl/>
        <w:spacing w:beforeAutospacing="0" w:afterAutospacing="0" w:line="500" w:lineRule="exact"/>
        <w:ind w:firstLine="480"/>
        <w:rPr>
          <w:rFonts w:hint="eastAsia" w:cs="宋体" w:asciiTheme="majorEastAsia" w:hAnsiTheme="majorEastAsia" w:eastAsiaTheme="majorEastAsia"/>
          <w:color w:val="000000"/>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Q3MzJmODVmNmFlYzI4OWVkNzBmYTBkOTQxYjNlOTEifQ=="/>
  </w:docVars>
  <w:rsids>
    <w:rsidRoot w:val="00086C1E"/>
    <w:rsid w:val="00086C1E"/>
    <w:rsid w:val="0009744A"/>
    <w:rsid w:val="000A7D2C"/>
    <w:rsid w:val="000A7FDD"/>
    <w:rsid w:val="000E222A"/>
    <w:rsid w:val="00101610"/>
    <w:rsid w:val="001237FE"/>
    <w:rsid w:val="001438AC"/>
    <w:rsid w:val="001576DC"/>
    <w:rsid w:val="001701E1"/>
    <w:rsid w:val="00171C0D"/>
    <w:rsid w:val="00173F05"/>
    <w:rsid w:val="00175426"/>
    <w:rsid w:val="001B0390"/>
    <w:rsid w:val="001F57D7"/>
    <w:rsid w:val="00211599"/>
    <w:rsid w:val="002625F0"/>
    <w:rsid w:val="002B62CA"/>
    <w:rsid w:val="002F70F4"/>
    <w:rsid w:val="00362766"/>
    <w:rsid w:val="00374DD2"/>
    <w:rsid w:val="00381092"/>
    <w:rsid w:val="00400103"/>
    <w:rsid w:val="00404551"/>
    <w:rsid w:val="004929FE"/>
    <w:rsid w:val="004B0DA4"/>
    <w:rsid w:val="004F7BD9"/>
    <w:rsid w:val="0056030B"/>
    <w:rsid w:val="00571497"/>
    <w:rsid w:val="005A5EBF"/>
    <w:rsid w:val="005B4448"/>
    <w:rsid w:val="005E5E66"/>
    <w:rsid w:val="006066ED"/>
    <w:rsid w:val="006B7992"/>
    <w:rsid w:val="006C1F87"/>
    <w:rsid w:val="00731C58"/>
    <w:rsid w:val="0074383F"/>
    <w:rsid w:val="0075005D"/>
    <w:rsid w:val="00756286"/>
    <w:rsid w:val="00765960"/>
    <w:rsid w:val="007661DE"/>
    <w:rsid w:val="0079504E"/>
    <w:rsid w:val="007E6E8B"/>
    <w:rsid w:val="008168D1"/>
    <w:rsid w:val="00817ECE"/>
    <w:rsid w:val="00820CBD"/>
    <w:rsid w:val="00882421"/>
    <w:rsid w:val="00884E0E"/>
    <w:rsid w:val="008D34E1"/>
    <w:rsid w:val="008E5DB3"/>
    <w:rsid w:val="008F31E8"/>
    <w:rsid w:val="0092140A"/>
    <w:rsid w:val="00932997"/>
    <w:rsid w:val="00952CDE"/>
    <w:rsid w:val="009741E8"/>
    <w:rsid w:val="00990007"/>
    <w:rsid w:val="009A5E89"/>
    <w:rsid w:val="009B150E"/>
    <w:rsid w:val="009C0F52"/>
    <w:rsid w:val="009E2544"/>
    <w:rsid w:val="00A0273E"/>
    <w:rsid w:val="00A159D9"/>
    <w:rsid w:val="00B509DE"/>
    <w:rsid w:val="00B53954"/>
    <w:rsid w:val="00BB47DB"/>
    <w:rsid w:val="00C01BDD"/>
    <w:rsid w:val="00C76E25"/>
    <w:rsid w:val="00CD1DB3"/>
    <w:rsid w:val="00CE6F42"/>
    <w:rsid w:val="00D21BBC"/>
    <w:rsid w:val="00D22DA0"/>
    <w:rsid w:val="00D5244D"/>
    <w:rsid w:val="00D62CD5"/>
    <w:rsid w:val="00D63130"/>
    <w:rsid w:val="00D80275"/>
    <w:rsid w:val="00DF7AEC"/>
    <w:rsid w:val="00E206EC"/>
    <w:rsid w:val="00E324E3"/>
    <w:rsid w:val="00E671C5"/>
    <w:rsid w:val="00E67E80"/>
    <w:rsid w:val="00E84062"/>
    <w:rsid w:val="00E91467"/>
    <w:rsid w:val="00E947CD"/>
    <w:rsid w:val="00EA409D"/>
    <w:rsid w:val="00EC6F25"/>
    <w:rsid w:val="00EF5047"/>
    <w:rsid w:val="00F13D07"/>
    <w:rsid w:val="00F7733B"/>
    <w:rsid w:val="00F86EAB"/>
    <w:rsid w:val="00F93738"/>
    <w:rsid w:val="00FD4938"/>
    <w:rsid w:val="00FD59C5"/>
    <w:rsid w:val="00FD6AD9"/>
    <w:rsid w:val="05513407"/>
    <w:rsid w:val="093F0D49"/>
    <w:rsid w:val="0B4825BE"/>
    <w:rsid w:val="0F3550C8"/>
    <w:rsid w:val="14264FE0"/>
    <w:rsid w:val="18E34A24"/>
    <w:rsid w:val="1E6832E5"/>
    <w:rsid w:val="1EDE7811"/>
    <w:rsid w:val="1FB14934"/>
    <w:rsid w:val="22867050"/>
    <w:rsid w:val="26686744"/>
    <w:rsid w:val="360101B5"/>
    <w:rsid w:val="3B692B44"/>
    <w:rsid w:val="3BCF0F99"/>
    <w:rsid w:val="3F400836"/>
    <w:rsid w:val="42DB73AA"/>
    <w:rsid w:val="44027809"/>
    <w:rsid w:val="448E6105"/>
    <w:rsid w:val="455D76DF"/>
    <w:rsid w:val="48FD385A"/>
    <w:rsid w:val="4A6D3CF2"/>
    <w:rsid w:val="56403494"/>
    <w:rsid w:val="5C0D30FB"/>
    <w:rsid w:val="5ECB0412"/>
    <w:rsid w:val="6553687E"/>
    <w:rsid w:val="66B97FDF"/>
    <w:rsid w:val="690835D7"/>
    <w:rsid w:val="6FB244D4"/>
    <w:rsid w:val="73E06822"/>
    <w:rsid w:val="78DB50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qFormat/>
    <w:uiPriority w:val="0"/>
    <w:rPr>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spacing w:beforeAutospacing="1" w:afterAutospacing="1"/>
      <w:jc w:val="left"/>
    </w:pPr>
    <w:rPr>
      <w:rFonts w:cs="Times New Roman"/>
      <w:kern w:val="0"/>
      <w:sz w:val="24"/>
    </w:rPr>
  </w:style>
  <w:style w:type="character" w:styleId="9">
    <w:name w:val="Strong"/>
    <w:basedOn w:val="8"/>
    <w:qFormat/>
    <w:uiPriority w:val="22"/>
    <w:rPr>
      <w:b/>
      <w:bCs/>
    </w:rPr>
  </w:style>
  <w:style w:type="character" w:customStyle="1" w:styleId="10">
    <w:name w:val="页眉 字符"/>
    <w:basedOn w:val="8"/>
    <w:link w:val="5"/>
    <w:qFormat/>
    <w:uiPriority w:val="0"/>
    <w:rPr>
      <w:rFonts w:asciiTheme="minorHAnsi" w:hAnsiTheme="minorHAnsi" w:eastAsiaTheme="minorEastAsia" w:cstheme="minorBidi"/>
      <w:kern w:val="2"/>
      <w:sz w:val="18"/>
      <w:szCs w:val="18"/>
    </w:rPr>
  </w:style>
  <w:style w:type="character" w:customStyle="1" w:styleId="11">
    <w:name w:val="页脚 字符"/>
    <w:basedOn w:val="8"/>
    <w:link w:val="4"/>
    <w:qFormat/>
    <w:uiPriority w:val="0"/>
    <w:rPr>
      <w:rFonts w:asciiTheme="minorHAnsi" w:hAnsiTheme="minorHAnsi" w:eastAsiaTheme="minorEastAsia" w:cstheme="minorBidi"/>
      <w:kern w:val="2"/>
      <w:sz w:val="18"/>
      <w:szCs w:val="18"/>
    </w:rPr>
  </w:style>
  <w:style w:type="character" w:customStyle="1" w:styleId="12">
    <w:name w:val="批注框文本 字符"/>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B8672-AFD9-43CB-89F2-2DE5666ADAD4}">
  <ds:schemaRefs/>
</ds:datastoreItem>
</file>

<file path=docProps/app.xml><?xml version="1.0" encoding="utf-8"?>
<Properties xmlns="http://schemas.openxmlformats.org/officeDocument/2006/extended-properties" xmlns:vt="http://schemas.openxmlformats.org/officeDocument/2006/docPropsVTypes">
  <Template>Normal</Template>
  <Pages>15</Pages>
  <Words>8757</Words>
  <Characters>9117</Characters>
  <Lines>36</Lines>
  <Paragraphs>10</Paragraphs>
  <TotalTime>0</TotalTime>
  <ScaleCrop>false</ScaleCrop>
  <LinksUpToDate>false</LinksUpToDate>
  <CharactersWithSpaces>9599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月之初</cp:lastModifiedBy>
  <dcterms:modified xsi:type="dcterms:W3CDTF">2024-09-30T08:46:49Z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5A1E5E98F6CE46BE9A1DDD01801C5738_13</vt:lpwstr>
  </property>
</Properties>
</file>